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625" w:rsidRDefault="00C43625" w:rsidP="00C43625">
      <w:pPr>
        <w:pStyle w:val="Heading1"/>
      </w:pPr>
      <w:bookmarkStart w:id="0" w:name="_Toc169311625"/>
      <w:r>
        <w:t>Summary</w:t>
      </w:r>
      <w:bookmarkEnd w:id="0"/>
    </w:p>
    <w:p w:rsidR="00C43625" w:rsidRDefault="00C43625" w:rsidP="00C43625">
      <w:r>
        <w:t>What should farmed fish eat? Although a current focus of interest, the question is anything but new. Fish feed has been a recurring topic of criticism in Norwegian salmon farming from its very beginning. In particular, the reliance on industrial fisheries and fishmeal produced for animal f</w:t>
      </w:r>
      <w:bookmarkStart w:id="1" w:name="_GoBack"/>
      <w:bookmarkEnd w:id="1"/>
      <w:r>
        <w:t>eed has represented a problem for the industry’s very legitimacy at various stages of its rapid growth. In the early phase of Norwegian salmon farming in the 1970s, feeding fish with fish stood out as an example of blatantly wasteful use of food resources, in a world where food – and high quality animal protein in particular – was scarce. This form of critique has followed salmon farming like a shadow, and it has been met with a response that has remained strikingly similar over time:</w:t>
      </w:r>
      <w:r w:rsidRPr="001B4652">
        <w:t xml:space="preserve"> </w:t>
      </w:r>
      <w:r>
        <w:t>Salmon is a very efficient converter of feed into flesh.</w:t>
      </w:r>
    </w:p>
    <w:p w:rsidR="00C43625" w:rsidRDefault="00C43625" w:rsidP="00C43625">
      <w:r>
        <w:t xml:space="preserve">This thesis combines historical research with methodical and theoretical resources that situate it within the broad field of Science and Technology Studies. It performs an historical analysis of controversies over the use of feed resources in Norwegian aquaculture, from the early 1970s up until the first years of the new millennium. Trying to understand fish feed’s persistent controversial status, this thesis relates a seemingly minute topic to wide-ranging debates in fisheries, agriculture, ecology and critiques of industrial modernization of food production. This raises a challenge of losing sight of the specificity of the topic studied, through explanation in terms of grand contextual phenomena. Meeting this challenge has guided the overall approach to the material. The thesis combines the concepts of </w:t>
      </w:r>
      <w:r>
        <w:rPr>
          <w:i/>
        </w:rPr>
        <w:t xml:space="preserve">problematization </w:t>
      </w:r>
      <w:r>
        <w:t xml:space="preserve">and </w:t>
      </w:r>
      <w:r>
        <w:rPr>
          <w:i/>
        </w:rPr>
        <w:t xml:space="preserve">contexting </w:t>
      </w:r>
      <w:r>
        <w:t xml:space="preserve">from Actor-Network Theory and </w:t>
      </w:r>
      <w:proofErr w:type="spellStart"/>
      <w:r>
        <w:t>Foucauldian</w:t>
      </w:r>
      <w:proofErr w:type="spellEnd"/>
      <w:r>
        <w:t xml:space="preserve"> genealogy. Together, they offer a set of methodical constraints and a particular way of inquiring into the controversies around fish feed, in an attempt to understand wide-ranging connections while maintaining an insistence on tracing empirically concrete relations. </w:t>
      </w:r>
    </w:p>
    <w:p w:rsidR="00C43625" w:rsidRDefault="00C43625" w:rsidP="00C43625">
      <w:r>
        <w:t xml:space="preserve">The first part of the thesis can be read as an experiment in methods: Its four chapters all start from a single, foundational document in Norwegian aquaculture policy, the so-called Lysø report from 1977. From the relatively brief discussions of feed in this report, it goes on to trace and reconstruct four interacting contexts that together serve to explain the ambiguous status of feed and resource use in aquaculture policy. A vision of fish farming as uniquely able to make use of locally available fish waste that would otherwise be discarded, stood in contrast to economies of scale and commercial feeds based on industrial fisheries. Along with these different visions came opposed concepts of what </w:t>
      </w:r>
      <w:r w:rsidRPr="000D733E">
        <w:rPr>
          <w:i/>
        </w:rPr>
        <w:t>efficiency</w:t>
      </w:r>
      <w:r>
        <w:t xml:space="preserve"> in natural resource use entailed. The thesis demonstrates how aquaculture policy incorporated fundamental critiques </w:t>
      </w:r>
      <w:r>
        <w:lastRenderedPageBreak/>
        <w:t>of industrialized food production, but also how this co-existed with parallel efforts that reined in their implications. The analytical construct of a “feed issue” is introduced to help explain a subsequent abrupt shift in the controversial status of industrial fisheries and fishmeal produced for animal feed after the 1970s.</w:t>
      </w:r>
    </w:p>
    <w:p w:rsidR="00C43625" w:rsidRDefault="00C43625" w:rsidP="00C43625">
      <w:r>
        <w:t xml:space="preserve">The second part of the thesis uses the “feed issue” as an analytical lens in moving to study the questions previously analysed in policy documents in a series of new sites: In manuals for practical feeding and the development of new types of fish feed in the feed industry of the 1980s, and in publically funded research in fish nutrition and feed technologies through the 1990s. </w:t>
      </w:r>
    </w:p>
    <w:p w:rsidR="00C43625" w:rsidRDefault="00C43625" w:rsidP="00C43625">
      <w:r>
        <w:t xml:space="preserve">Through the chapters of this second part, the thesis tracks two important trajectories of the “feed issue” and the topic of feed in Norwegian salmon farming. First, this went from being a central topic in aquaculture policy to be gradually displaced onto arenas of scientific research, markets and consumer preferences. Feed as an issue was divided into separate questions with accompanying research agendas, which came to align more and more closely with the strategic outlook of the salmon farming industry. Second, it follows the rapid growth in production volumes of salmon farming, and the recurring risk of running out of ingredients to make more feed. When plant material such as soybean was increasingly introduced in fish feed from the early 2000s, this depended not only on an earlier sustained long-term research effort to enable this shift. The thesis aims to show that the history of a “feed issue” in Norwegian fish farming is also one of a gradual displacement of the ambiguity or reluctance that marked the practice of feeding fish with fish. </w:t>
      </w:r>
    </w:p>
    <w:p w:rsidR="00C52A15" w:rsidRPr="00C43625" w:rsidRDefault="00C52A15" w:rsidP="00C43625">
      <w:pPr>
        <w:spacing w:line="259" w:lineRule="auto"/>
      </w:pPr>
    </w:p>
    <w:sectPr w:rsidR="00C52A15" w:rsidRPr="00C4362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05B" w:rsidRDefault="0056005B" w:rsidP="0056005B">
      <w:r>
        <w:separator/>
      </w:r>
    </w:p>
  </w:endnote>
  <w:endnote w:type="continuationSeparator" w:id="0">
    <w:p w:rsidR="0056005B" w:rsidRDefault="0056005B" w:rsidP="00560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114741"/>
      <w:docPartObj>
        <w:docPartGallery w:val="Page Numbers (Bottom of Page)"/>
        <w:docPartUnique/>
      </w:docPartObj>
    </w:sdtPr>
    <w:sdtEndPr/>
    <w:sdtContent>
      <w:p w:rsidR="009D7F90" w:rsidRDefault="009D7F90">
        <w:pPr>
          <w:pStyle w:val="Footer"/>
          <w:jc w:val="right"/>
        </w:pPr>
        <w:r>
          <w:fldChar w:fldCharType="begin"/>
        </w:r>
        <w:r>
          <w:instrText>PAGE   \* MERGEFORMAT</w:instrText>
        </w:r>
        <w:r>
          <w:fldChar w:fldCharType="separate"/>
        </w:r>
        <w:r w:rsidR="00C43625" w:rsidRPr="00C43625">
          <w:rPr>
            <w:noProof/>
            <w:lang w:val="nb-NO"/>
          </w:rPr>
          <w:t>2</w:t>
        </w:r>
        <w:r>
          <w:fldChar w:fldCharType="end"/>
        </w:r>
      </w:p>
    </w:sdtContent>
  </w:sdt>
  <w:p w:rsidR="009D7F90" w:rsidRDefault="009D7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05B" w:rsidRDefault="0056005B" w:rsidP="0056005B">
      <w:r>
        <w:separator/>
      </w:r>
    </w:p>
  </w:footnote>
  <w:footnote w:type="continuationSeparator" w:id="0">
    <w:p w:rsidR="0056005B" w:rsidRDefault="0056005B" w:rsidP="005600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AC2930"/>
    <w:multiLevelType w:val="hybridMultilevel"/>
    <w:tmpl w:val="E60E3C56"/>
    <w:lvl w:ilvl="0" w:tplc="D8BAE8F6">
      <w:start w:val="1"/>
      <w:numFmt w:val="decimal"/>
      <w:lvlText w:val="%1."/>
      <w:lvlJc w:val="left"/>
      <w:pPr>
        <w:ind w:left="1773" w:hanging="360"/>
      </w:pPr>
      <w:rPr>
        <w:rFonts w:hint="default"/>
      </w:rPr>
    </w:lvl>
    <w:lvl w:ilvl="1" w:tplc="04140019" w:tentative="1">
      <w:start w:val="1"/>
      <w:numFmt w:val="lowerLetter"/>
      <w:lvlText w:val="%2."/>
      <w:lvlJc w:val="left"/>
      <w:pPr>
        <w:ind w:left="2493" w:hanging="360"/>
      </w:pPr>
    </w:lvl>
    <w:lvl w:ilvl="2" w:tplc="0414001B" w:tentative="1">
      <w:start w:val="1"/>
      <w:numFmt w:val="lowerRoman"/>
      <w:lvlText w:val="%3."/>
      <w:lvlJc w:val="right"/>
      <w:pPr>
        <w:ind w:left="3213" w:hanging="180"/>
      </w:pPr>
    </w:lvl>
    <w:lvl w:ilvl="3" w:tplc="0414000F" w:tentative="1">
      <w:start w:val="1"/>
      <w:numFmt w:val="decimal"/>
      <w:lvlText w:val="%4."/>
      <w:lvlJc w:val="left"/>
      <w:pPr>
        <w:ind w:left="3933" w:hanging="360"/>
      </w:pPr>
    </w:lvl>
    <w:lvl w:ilvl="4" w:tplc="04140019" w:tentative="1">
      <w:start w:val="1"/>
      <w:numFmt w:val="lowerLetter"/>
      <w:lvlText w:val="%5."/>
      <w:lvlJc w:val="left"/>
      <w:pPr>
        <w:ind w:left="4653" w:hanging="360"/>
      </w:pPr>
    </w:lvl>
    <w:lvl w:ilvl="5" w:tplc="0414001B" w:tentative="1">
      <w:start w:val="1"/>
      <w:numFmt w:val="lowerRoman"/>
      <w:lvlText w:val="%6."/>
      <w:lvlJc w:val="right"/>
      <w:pPr>
        <w:ind w:left="5373" w:hanging="180"/>
      </w:pPr>
    </w:lvl>
    <w:lvl w:ilvl="6" w:tplc="0414000F" w:tentative="1">
      <w:start w:val="1"/>
      <w:numFmt w:val="decimal"/>
      <w:lvlText w:val="%7."/>
      <w:lvlJc w:val="left"/>
      <w:pPr>
        <w:ind w:left="6093" w:hanging="360"/>
      </w:pPr>
    </w:lvl>
    <w:lvl w:ilvl="7" w:tplc="04140019" w:tentative="1">
      <w:start w:val="1"/>
      <w:numFmt w:val="lowerLetter"/>
      <w:lvlText w:val="%8."/>
      <w:lvlJc w:val="left"/>
      <w:pPr>
        <w:ind w:left="6813" w:hanging="360"/>
      </w:pPr>
    </w:lvl>
    <w:lvl w:ilvl="8" w:tplc="0414001B" w:tentative="1">
      <w:start w:val="1"/>
      <w:numFmt w:val="lowerRoman"/>
      <w:lvlText w:val="%9."/>
      <w:lvlJc w:val="right"/>
      <w:pPr>
        <w:ind w:left="753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nb-NO" w:vendorID="64" w:dllVersion="131078" w:nlCheck="1" w:checkStyle="0"/>
  <w:activeWritingStyle w:appName="MSWord" w:lang="en-GB" w:vendorID="64" w:dllVersion="131078" w:nlCheck="1" w:checkStyle="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 SaC&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9zvrpzm95ppne2xvzvdvtdrr5tpstds0xr&quot;&gt;Bibliotek samlet&lt;record-ids&gt;&lt;item&gt;234&lt;/item&gt;&lt;item&gt;470&lt;/item&gt;&lt;item&gt;575&lt;/item&gt;&lt;item&gt;823&lt;/item&gt;&lt;item&gt;917&lt;/item&gt;&lt;item&gt;918&lt;/item&gt;&lt;item&gt;986&lt;/item&gt;&lt;item&gt;987&lt;/item&gt;&lt;item&gt;991&lt;/item&gt;&lt;item&gt;992&lt;/item&gt;&lt;item&gt;996&lt;/item&gt;&lt;/record-ids&gt;&lt;/item&gt;&lt;/Libraries&gt;"/>
  </w:docVars>
  <w:rsids>
    <w:rsidRoot w:val="0056005B"/>
    <w:rsid w:val="000409E4"/>
    <w:rsid w:val="000610A3"/>
    <w:rsid w:val="00077D89"/>
    <w:rsid w:val="000D733E"/>
    <w:rsid w:val="00110889"/>
    <w:rsid w:val="00120C66"/>
    <w:rsid w:val="00264612"/>
    <w:rsid w:val="00306051"/>
    <w:rsid w:val="0039252C"/>
    <w:rsid w:val="003B5CF9"/>
    <w:rsid w:val="00487DA8"/>
    <w:rsid w:val="00497001"/>
    <w:rsid w:val="004E07B8"/>
    <w:rsid w:val="004E175A"/>
    <w:rsid w:val="0056005B"/>
    <w:rsid w:val="005C72EE"/>
    <w:rsid w:val="006326CA"/>
    <w:rsid w:val="00647082"/>
    <w:rsid w:val="007F6C0C"/>
    <w:rsid w:val="00817361"/>
    <w:rsid w:val="00827AD3"/>
    <w:rsid w:val="00882B3E"/>
    <w:rsid w:val="008C74F2"/>
    <w:rsid w:val="0093435B"/>
    <w:rsid w:val="00961C6D"/>
    <w:rsid w:val="009D7F90"/>
    <w:rsid w:val="009F5343"/>
    <w:rsid w:val="00A30242"/>
    <w:rsid w:val="00AC0A7E"/>
    <w:rsid w:val="00C43625"/>
    <w:rsid w:val="00C52A15"/>
    <w:rsid w:val="00C72A88"/>
    <w:rsid w:val="00C82C0F"/>
    <w:rsid w:val="00CF236A"/>
    <w:rsid w:val="00D45BCC"/>
    <w:rsid w:val="00DF486C"/>
    <w:rsid w:val="00E1059C"/>
    <w:rsid w:val="00EF0933"/>
    <w:rsid w:val="00F325AE"/>
    <w:rsid w:val="00FB23DB"/>
    <w:rsid w:val="00FF294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5A87D"/>
  <w15:chartTrackingRefBased/>
  <w15:docId w15:val="{7FFE60D1-2191-4B10-946F-876429D7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05B"/>
    <w:pPr>
      <w:spacing w:line="360" w:lineRule="auto"/>
    </w:pPr>
    <w:rPr>
      <w:rFonts w:ascii="Times New Roman" w:hAnsi="Times New Roman" w:cs="Times New Roman"/>
      <w:sz w:val="24"/>
      <w:szCs w:val="24"/>
      <w:lang w:val="en-GB"/>
    </w:rPr>
  </w:style>
  <w:style w:type="paragraph" w:styleId="Heading1">
    <w:name w:val="heading 1"/>
    <w:basedOn w:val="Normal"/>
    <w:next w:val="Normal"/>
    <w:link w:val="Heading1Char"/>
    <w:uiPriority w:val="9"/>
    <w:qFormat/>
    <w:rsid w:val="0056005B"/>
    <w:pPr>
      <w:outlineLvl w:val="0"/>
    </w:pPr>
    <w:rPr>
      <w:sz w:val="28"/>
      <w:szCs w:val="28"/>
    </w:rPr>
  </w:style>
  <w:style w:type="paragraph" w:styleId="Heading2">
    <w:name w:val="heading 2"/>
    <w:basedOn w:val="Normal"/>
    <w:next w:val="Normal"/>
    <w:link w:val="Heading2Char"/>
    <w:uiPriority w:val="9"/>
    <w:unhideWhenUsed/>
    <w:qFormat/>
    <w:rsid w:val="00647082"/>
    <w:pPr>
      <w:spacing w:before="120" w:after="120"/>
      <w:outlineLvl w:val="1"/>
    </w:pPr>
    <w:rPr>
      <w:b/>
      <w:i/>
    </w:rPr>
  </w:style>
  <w:style w:type="paragraph" w:styleId="Heading3">
    <w:name w:val="heading 3"/>
    <w:basedOn w:val="Normal"/>
    <w:next w:val="Normal"/>
    <w:link w:val="Heading3Char"/>
    <w:uiPriority w:val="9"/>
    <w:unhideWhenUsed/>
    <w:qFormat/>
    <w:rsid w:val="00647082"/>
    <w:pPr>
      <w:spacing w:before="120" w:after="280"/>
      <w:outlineLvl w:val="2"/>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05B"/>
    <w:rPr>
      <w:rFonts w:ascii="Times New Roman" w:hAnsi="Times New Roman" w:cs="Times New Roman"/>
      <w:sz w:val="28"/>
      <w:szCs w:val="28"/>
      <w:lang w:val="en-GB"/>
    </w:rPr>
  </w:style>
  <w:style w:type="character" w:customStyle="1" w:styleId="Heading2Char">
    <w:name w:val="Heading 2 Char"/>
    <w:basedOn w:val="DefaultParagraphFont"/>
    <w:link w:val="Heading2"/>
    <w:uiPriority w:val="9"/>
    <w:rsid w:val="00647082"/>
    <w:rPr>
      <w:rFonts w:ascii="Times New Roman" w:hAnsi="Times New Roman" w:cs="Times New Roman"/>
      <w:b/>
      <w:i/>
      <w:sz w:val="24"/>
      <w:szCs w:val="24"/>
      <w:lang w:val="en-GB"/>
    </w:rPr>
  </w:style>
  <w:style w:type="paragraph" w:styleId="NoSpacing">
    <w:name w:val="No Spacing"/>
    <w:aliases w:val="innrykket sitat"/>
    <w:basedOn w:val="Normal"/>
    <w:next w:val="Normal"/>
    <w:uiPriority w:val="1"/>
    <w:qFormat/>
    <w:rsid w:val="0056005B"/>
    <w:pPr>
      <w:spacing w:after="240" w:line="276" w:lineRule="auto"/>
      <w:ind w:left="709"/>
      <w:contextualSpacing/>
    </w:pPr>
    <w:rPr>
      <w:i/>
      <w:sz w:val="22"/>
      <w:szCs w:val="22"/>
    </w:rPr>
  </w:style>
  <w:style w:type="paragraph" w:styleId="FootnoteText">
    <w:name w:val="footnote text"/>
    <w:basedOn w:val="Normal"/>
    <w:link w:val="FootnoteTextChar"/>
    <w:uiPriority w:val="99"/>
    <w:unhideWhenUsed/>
    <w:rsid w:val="0056005B"/>
    <w:pPr>
      <w:spacing w:after="0" w:line="240" w:lineRule="auto"/>
    </w:pPr>
    <w:rPr>
      <w:sz w:val="20"/>
      <w:szCs w:val="20"/>
    </w:rPr>
  </w:style>
  <w:style w:type="character" w:customStyle="1" w:styleId="FootnoteTextChar">
    <w:name w:val="Footnote Text Char"/>
    <w:basedOn w:val="DefaultParagraphFont"/>
    <w:link w:val="FootnoteText"/>
    <w:uiPriority w:val="99"/>
    <w:rsid w:val="0056005B"/>
    <w:rPr>
      <w:rFonts w:ascii="Times New Roman" w:hAnsi="Times New Roman" w:cs="Times New Roman"/>
      <w:sz w:val="20"/>
      <w:szCs w:val="20"/>
      <w:lang w:val="en-GB"/>
    </w:rPr>
  </w:style>
  <w:style w:type="character" w:styleId="FootnoteReference">
    <w:name w:val="footnote reference"/>
    <w:basedOn w:val="DefaultParagraphFont"/>
    <w:uiPriority w:val="99"/>
    <w:semiHidden/>
    <w:unhideWhenUsed/>
    <w:rsid w:val="0056005B"/>
    <w:rPr>
      <w:vertAlign w:val="superscript"/>
    </w:rPr>
  </w:style>
  <w:style w:type="paragraph" w:customStyle="1" w:styleId="EndNoteBibliographyTitle">
    <w:name w:val="EndNote Bibliography Title"/>
    <w:basedOn w:val="Normal"/>
    <w:link w:val="EndNoteBibliographyTitleChar"/>
    <w:rsid w:val="0056005B"/>
    <w:pPr>
      <w:spacing w:after="0"/>
      <w:jc w:val="center"/>
    </w:pPr>
    <w:rPr>
      <w:noProof/>
      <w:lang w:val="en-US"/>
    </w:rPr>
  </w:style>
  <w:style w:type="character" w:customStyle="1" w:styleId="EndNoteBibliographyTitleChar">
    <w:name w:val="EndNote Bibliography Title Char"/>
    <w:basedOn w:val="FootnoteTextChar"/>
    <w:link w:val="EndNoteBibliographyTitle"/>
    <w:rsid w:val="0056005B"/>
    <w:rPr>
      <w:rFonts w:ascii="Times New Roman" w:hAnsi="Times New Roman" w:cs="Times New Roman"/>
      <w:noProof/>
      <w:sz w:val="24"/>
      <w:szCs w:val="24"/>
      <w:lang w:val="en-US"/>
    </w:rPr>
  </w:style>
  <w:style w:type="paragraph" w:customStyle="1" w:styleId="EndNoteBibliography">
    <w:name w:val="EndNote Bibliography"/>
    <w:basedOn w:val="Normal"/>
    <w:link w:val="EndNoteBibliographyChar"/>
    <w:rsid w:val="0056005B"/>
    <w:pPr>
      <w:spacing w:line="240" w:lineRule="auto"/>
    </w:pPr>
    <w:rPr>
      <w:noProof/>
      <w:lang w:val="en-US"/>
    </w:rPr>
  </w:style>
  <w:style w:type="character" w:customStyle="1" w:styleId="EndNoteBibliographyChar">
    <w:name w:val="EndNote Bibliography Char"/>
    <w:basedOn w:val="FootnoteTextChar"/>
    <w:link w:val="EndNoteBibliography"/>
    <w:rsid w:val="0056005B"/>
    <w:rPr>
      <w:rFonts w:ascii="Times New Roman" w:hAnsi="Times New Roman" w:cs="Times New Roman"/>
      <w:noProof/>
      <w:sz w:val="24"/>
      <w:szCs w:val="24"/>
      <w:lang w:val="en-US"/>
    </w:rPr>
  </w:style>
  <w:style w:type="paragraph" w:styleId="Header">
    <w:name w:val="header"/>
    <w:basedOn w:val="Normal"/>
    <w:link w:val="HeaderChar"/>
    <w:uiPriority w:val="99"/>
    <w:unhideWhenUsed/>
    <w:rsid w:val="009D7F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F90"/>
    <w:rPr>
      <w:rFonts w:ascii="Times New Roman" w:hAnsi="Times New Roman" w:cs="Times New Roman"/>
      <w:sz w:val="24"/>
      <w:szCs w:val="24"/>
      <w:lang w:val="en-GB"/>
    </w:rPr>
  </w:style>
  <w:style w:type="paragraph" w:styleId="Footer">
    <w:name w:val="footer"/>
    <w:basedOn w:val="Normal"/>
    <w:link w:val="FooterChar"/>
    <w:uiPriority w:val="99"/>
    <w:unhideWhenUsed/>
    <w:rsid w:val="009D7F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F90"/>
    <w:rPr>
      <w:rFonts w:ascii="Times New Roman" w:hAnsi="Times New Roman" w:cs="Times New Roman"/>
      <w:sz w:val="24"/>
      <w:szCs w:val="24"/>
      <w:lang w:val="en-GB"/>
    </w:rPr>
  </w:style>
  <w:style w:type="character" w:customStyle="1" w:styleId="Heading3Char">
    <w:name w:val="Heading 3 Char"/>
    <w:basedOn w:val="DefaultParagraphFont"/>
    <w:link w:val="Heading3"/>
    <w:uiPriority w:val="9"/>
    <w:rsid w:val="00647082"/>
    <w:rPr>
      <w:rFonts w:ascii="Times New Roman" w:hAnsi="Times New Roman" w:cs="Times New Roman"/>
      <w:i/>
      <w:sz w:val="24"/>
      <w:szCs w:val="24"/>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2</Pages>
  <Words>731</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Bård Hobæk</dc:creator>
  <cp:keywords/>
  <dc:description/>
  <cp:lastModifiedBy>Bård Hobæk</cp:lastModifiedBy>
  <cp:revision>10</cp:revision>
  <dcterms:created xsi:type="dcterms:W3CDTF">2024-03-26T19:01:00Z</dcterms:created>
  <dcterms:modified xsi:type="dcterms:W3CDTF">2024-06-15T21:40:00Z</dcterms:modified>
</cp:coreProperties>
</file>