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A5562" w14:textId="77777777" w:rsidR="007D6FB2" w:rsidRDefault="007D6FB2" w:rsidP="007D6FB2">
      <w:pPr>
        <w:spacing w:line="240" w:lineRule="auto"/>
      </w:pPr>
      <w:r>
        <w:t>Table 1. Seven scenarios defined by two major aspects of the true data.</w:t>
      </w:r>
    </w:p>
    <w:tbl>
      <w:tblPr>
        <w:tblStyle w:val="TableGrid"/>
        <w:tblW w:w="13183" w:type="dxa"/>
        <w:tblLook w:val="04A0" w:firstRow="1" w:lastRow="0" w:firstColumn="1" w:lastColumn="0" w:noHBand="0" w:noVBand="1"/>
      </w:tblPr>
      <w:tblGrid>
        <w:gridCol w:w="1560"/>
        <w:gridCol w:w="4389"/>
        <w:gridCol w:w="3685"/>
        <w:gridCol w:w="3549"/>
      </w:tblGrid>
      <w:tr w:rsidR="007D6FB2" w14:paraId="1F1623E1" w14:textId="77777777" w:rsidTr="00AB7F64">
        <w:tc>
          <w:tcPr>
            <w:tcW w:w="1560" w:type="dxa"/>
          </w:tcPr>
          <w:p w14:paraId="69FA6831" w14:textId="77777777" w:rsidR="007D6FB2" w:rsidRDefault="007D6FB2" w:rsidP="00AB7F64"/>
        </w:tc>
        <w:tc>
          <w:tcPr>
            <w:tcW w:w="11623" w:type="dxa"/>
            <w:gridSpan w:val="3"/>
          </w:tcPr>
          <w:p w14:paraId="467C069A" w14:textId="77777777" w:rsidR="007D6FB2" w:rsidRPr="00711E32" w:rsidRDefault="007D6FB2" w:rsidP="00AB7F64">
            <w:pPr>
              <w:spacing w:after="120"/>
              <w:jc w:val="center"/>
              <w:rPr>
                <w:b/>
                <w:bCs/>
              </w:rPr>
            </w:pPr>
            <w:r>
              <w:rPr>
                <w:b/>
                <w:bCs/>
              </w:rPr>
              <w:t xml:space="preserve">B) </w:t>
            </w:r>
            <w:r w:rsidRPr="00711E32">
              <w:rPr>
                <w:b/>
                <w:bCs/>
              </w:rPr>
              <w:t>Baseline association between predictor and outcome due to:</w:t>
            </w:r>
          </w:p>
        </w:tc>
      </w:tr>
      <w:tr w:rsidR="007D6FB2" w14:paraId="57FD840E" w14:textId="77777777" w:rsidTr="00AB7F64">
        <w:tc>
          <w:tcPr>
            <w:tcW w:w="1560" w:type="dxa"/>
          </w:tcPr>
          <w:p w14:paraId="2F6B31BA" w14:textId="77777777" w:rsidR="007D6FB2" w:rsidRDefault="007D6FB2" w:rsidP="00AB7F64">
            <w:r>
              <w:rPr>
                <w:b/>
                <w:bCs/>
              </w:rPr>
              <w:t xml:space="preserve">A) </w:t>
            </w:r>
            <w:r w:rsidRPr="00711E32">
              <w:rPr>
                <w:b/>
                <w:bCs/>
              </w:rPr>
              <w:t>Stability in the outcome due to:</w:t>
            </w:r>
          </w:p>
        </w:tc>
        <w:tc>
          <w:tcPr>
            <w:tcW w:w="4389" w:type="dxa"/>
          </w:tcPr>
          <w:p w14:paraId="3E5F6EE2" w14:textId="77777777" w:rsidR="007D6FB2" w:rsidRDefault="007D6FB2" w:rsidP="00AB7F64">
            <w:pPr>
              <w:spacing w:before="120" w:after="120"/>
            </w:pPr>
            <w:r>
              <w:t>Factors with temporary effects</w:t>
            </w:r>
          </w:p>
        </w:tc>
        <w:tc>
          <w:tcPr>
            <w:tcW w:w="3685" w:type="dxa"/>
          </w:tcPr>
          <w:p w14:paraId="6E2DA46C" w14:textId="77777777" w:rsidR="007D6FB2" w:rsidRDefault="007D6FB2" w:rsidP="00AB7F64">
            <w:pPr>
              <w:spacing w:before="120" w:after="120"/>
            </w:pPr>
            <w:r>
              <w:t>Factors with temporary and factors with stable effects</w:t>
            </w:r>
          </w:p>
        </w:tc>
        <w:tc>
          <w:tcPr>
            <w:tcW w:w="3549" w:type="dxa"/>
          </w:tcPr>
          <w:p w14:paraId="6809B8A5" w14:textId="77777777" w:rsidR="007D6FB2" w:rsidRDefault="007D6FB2" w:rsidP="00AB7F64">
            <w:pPr>
              <w:spacing w:before="120" w:after="120"/>
            </w:pPr>
            <w:r>
              <w:t>Factors with stable effects</w:t>
            </w:r>
          </w:p>
        </w:tc>
      </w:tr>
      <w:tr w:rsidR="007D6FB2" w14:paraId="4216BD0E" w14:textId="77777777" w:rsidTr="00AB7F64">
        <w:tc>
          <w:tcPr>
            <w:tcW w:w="1560" w:type="dxa"/>
          </w:tcPr>
          <w:p w14:paraId="33BFFF6D" w14:textId="77777777" w:rsidR="007D6FB2" w:rsidRPr="00DB7F42" w:rsidRDefault="007D6FB2" w:rsidP="00AB7F64">
            <w:pPr>
              <w:spacing w:before="120" w:after="120"/>
              <w:rPr>
                <w:sz w:val="18"/>
                <w:szCs w:val="18"/>
              </w:rPr>
            </w:pPr>
            <w:r>
              <w:rPr>
                <w:noProof/>
              </w:rPr>
              <mc:AlternateContent>
                <mc:Choice Requires="wps">
                  <w:drawing>
                    <wp:anchor distT="0" distB="0" distL="114300" distR="114300" simplePos="0" relativeHeight="251659264" behindDoc="0" locked="0" layoutInCell="1" allowOverlap="1" wp14:anchorId="7B31F3DB" wp14:editId="4665176A">
                      <wp:simplePos x="0" y="0"/>
                      <wp:positionH relativeFrom="column">
                        <wp:posOffset>-70485</wp:posOffset>
                      </wp:positionH>
                      <wp:positionV relativeFrom="paragraph">
                        <wp:posOffset>97790</wp:posOffset>
                      </wp:positionV>
                      <wp:extent cx="815340" cy="853440"/>
                      <wp:effectExtent l="0" t="0" r="3810" b="3810"/>
                      <wp:wrapNone/>
                      <wp:docPr id="1934421942" name="Text Box 1"/>
                      <wp:cNvGraphicFramePr/>
                      <a:graphic xmlns:a="http://schemas.openxmlformats.org/drawingml/2006/main">
                        <a:graphicData uri="http://schemas.microsoft.com/office/word/2010/wordprocessingShape">
                          <wps:wsp>
                            <wps:cNvSpPr txBox="1"/>
                            <wps:spPr>
                              <a:xfrm>
                                <a:off x="0" y="0"/>
                                <a:ext cx="815340" cy="853440"/>
                              </a:xfrm>
                              <a:prstGeom prst="rect">
                                <a:avLst/>
                              </a:prstGeom>
                              <a:solidFill>
                                <a:schemeClr val="lt1"/>
                              </a:solidFill>
                              <a:ln w="6350">
                                <a:noFill/>
                              </a:ln>
                            </wps:spPr>
                            <wps:txbx>
                              <w:txbxContent>
                                <w:p w14:paraId="00F0F0E2" w14:textId="77777777" w:rsidR="007D6FB2" w:rsidRDefault="007D6FB2" w:rsidP="007D6FB2">
                                  <w:pPr>
                                    <w:spacing w:after="0" w:line="360" w:lineRule="auto"/>
                                  </w:pPr>
                                  <w:r w:rsidRPr="00900D8F">
                                    <w:t xml:space="preserve">Underlying </w:t>
                                  </w:r>
                                </w:p>
                                <w:p w14:paraId="3655B8A9" w14:textId="77777777" w:rsidR="007D6FB2" w:rsidRDefault="007D6FB2" w:rsidP="007D6FB2">
                                  <w:pPr>
                                    <w:spacing w:after="0" w:line="360" w:lineRule="auto"/>
                                  </w:pPr>
                                  <w:r w:rsidRPr="00900D8F">
                                    <w:t>liability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1F3DB" id="_x0000_t202" coordsize="21600,21600" o:spt="202" path="m,l,21600r21600,l21600,xe">
                      <v:stroke joinstyle="miter"/>
                      <v:path gradientshapeok="t" o:connecttype="rect"/>
                    </v:shapetype>
                    <v:shape id="Text Box 1" o:spid="_x0000_s1026" type="#_x0000_t202" style="position:absolute;margin-left:-5.55pt;margin-top:7.7pt;width:64.2pt;height:6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9jnKQIAAFMEAAAOAAAAZHJzL2Uyb0RvYy54bWysVE1v2zAMvQ/YfxB0X5ykTZcacYosRYYB&#10;QVsgHXpWZDk2IIuaxMTOfv0o2flYt9Owi0yK1CP5SHr20NaaHZTzFZiMjwZDzpSRkFdml/Hvr6tP&#10;U848CpMLDUZl/Kg8f5h//DBrbKrGUILOlWMEYnza2IyXiDZNEi9LVQs/AKsMGQtwtUBS3S7JnWgI&#10;vdbJeDi8SxpwuXUglfd0+9gZ+TziF4WS+FwUXiHTGafcMJ4unttwJvOZSHdO2LKSfRriH7KoRWUo&#10;6BnqUaBge1f9AVVX0oGHAgcS6gSKopIq1kDVjIbvqtmUwqpYC5Hj7Zkm//9g5dNhY18cw/YLtNTA&#10;QEhjferpMtTTFq4OX8qUkZ0oPJ5pUy0ySZfT0eTmliySTFMSSSaU5PLYOo9fFdQsCBl31JVIljis&#10;PXauJ5cQy4Ou8lWldVTCJKilduwgqIcaY4oE/puXNqzJ+N3NZBiBDYTnHbI2lMulpCBhu237OreQ&#10;H6l8B91keCtXFSW5Fh5fhKNRoLpovPGZjkIDBYFe4qwE9/Nv98GfOkRWzhoarYz7H3vhFGf6m6He&#10;3Y8CRQyjcjv5PCbFXVu21xazr5dAlY9okayMYvBHfRILB/UbbcEiRCWTMJJiZxxP4hK7gactkmqx&#10;iE40fVbg2mysDNCB6dCC1/ZNONv3CanBT3AaQpG+a1fnG14aWOwRiir2MhDcsdrzTpMbp6HfsrAa&#10;13r0uvwL5r8AAAD//wMAUEsDBBQABgAIAAAAIQAZe2BA4QAAAAoBAAAPAAAAZHJzL2Rvd25yZXYu&#10;eG1sTI/LTsMwEEX3SPyDNUhsUOuE9EWIUyHEQ2JHU0Ds3HhIIuJxFLtJ+HumK9jN6B7dOZNtJ9uK&#10;AXvfOFIQzyMQSKUzDVUK9sXjbAPCB01Gt45QwQ962ObnZ5lOjRvpFYddqASXkE+1gjqELpXSlzVa&#10;7eeuQ+Lsy/VWB177Sppej1xuW3kdRStpdUN8odYd3tdYfu+OVsHnVfXx4qentzFZJt3D81Cs302h&#10;1OXFdHcLIuAU/mA46bM65Ox0cEcyXrQKZnEcM8rBcgHiBMTrBMSBh8XNBmSeyf8v5L8AAAD//wMA&#10;UEsBAi0AFAAGAAgAAAAhALaDOJL+AAAA4QEAABMAAAAAAAAAAAAAAAAAAAAAAFtDb250ZW50X1R5&#10;cGVzXS54bWxQSwECLQAUAAYACAAAACEAOP0h/9YAAACUAQAACwAAAAAAAAAAAAAAAAAvAQAAX3Jl&#10;bHMvLnJlbHNQSwECLQAUAAYACAAAACEAKN/Y5ykCAABTBAAADgAAAAAAAAAAAAAAAAAuAgAAZHJz&#10;L2Uyb0RvYy54bWxQSwECLQAUAAYACAAAACEAGXtgQOEAAAAKAQAADwAAAAAAAAAAAAAAAACDBAAA&#10;ZHJzL2Rvd25yZXYueG1sUEsFBgAAAAAEAAQA8wAAAJEFAAAAAA==&#10;" fillcolor="white [3201]" stroked="f" strokeweight=".5pt">
                      <v:textbox>
                        <w:txbxContent>
                          <w:p w14:paraId="00F0F0E2" w14:textId="77777777" w:rsidR="007D6FB2" w:rsidRDefault="007D6FB2" w:rsidP="007D6FB2">
                            <w:pPr>
                              <w:spacing w:after="0" w:line="360" w:lineRule="auto"/>
                            </w:pPr>
                            <w:r w:rsidRPr="00900D8F">
                              <w:t xml:space="preserve">Underlying </w:t>
                            </w:r>
                          </w:p>
                          <w:p w14:paraId="3655B8A9" w14:textId="77777777" w:rsidR="007D6FB2" w:rsidRDefault="007D6FB2" w:rsidP="007D6FB2">
                            <w:pPr>
                              <w:spacing w:after="0" w:line="360" w:lineRule="auto"/>
                            </w:pPr>
                            <w:r w:rsidRPr="00900D8F">
                              <w:t>liability</w:t>
                            </w:r>
                          </w:p>
                        </w:txbxContent>
                      </v:textbox>
                    </v:shape>
                  </w:pict>
                </mc:Fallback>
              </mc:AlternateContent>
            </w:r>
          </w:p>
          <w:p w14:paraId="67B6D97A" w14:textId="77777777" w:rsidR="007D6FB2" w:rsidRPr="00900D8F" w:rsidRDefault="007D6FB2" w:rsidP="00AB7F64">
            <w:pPr>
              <w:spacing w:before="120" w:after="120"/>
            </w:pPr>
          </w:p>
        </w:tc>
        <w:tc>
          <w:tcPr>
            <w:tcW w:w="4389" w:type="dxa"/>
          </w:tcPr>
          <w:p w14:paraId="6CC21833" w14:textId="77777777" w:rsidR="007D6FB2" w:rsidRPr="00E640DF" w:rsidRDefault="007D6FB2" w:rsidP="00AB7F64">
            <w:pPr>
              <w:spacing w:before="120"/>
              <w:rPr>
                <w:sz w:val="20"/>
                <w:szCs w:val="20"/>
              </w:rPr>
            </w:pPr>
            <w:r w:rsidRPr="00713A35">
              <w:t>Scenario 1</w:t>
            </w:r>
            <w:r>
              <w:rPr>
                <w:sz w:val="18"/>
                <w:szCs w:val="18"/>
              </w:rPr>
              <w:t xml:space="preserve"> – </w:t>
            </w:r>
            <w:r w:rsidRPr="00E640DF">
              <w:rPr>
                <w:sz w:val="20"/>
                <w:szCs w:val="20"/>
              </w:rPr>
              <w:t xml:space="preserve">Non-shared liability, shared baseline momentary effects.  </w:t>
            </w:r>
          </w:p>
          <w:p w14:paraId="6D275888" w14:textId="77777777" w:rsidR="007D6FB2" w:rsidRPr="00E640DF" w:rsidRDefault="007D6FB2" w:rsidP="00AB7F64">
            <w:pPr>
              <w:spacing w:before="120" w:after="120"/>
              <w:rPr>
                <w:i/>
                <w:iCs/>
                <w:sz w:val="20"/>
                <w:szCs w:val="20"/>
              </w:rPr>
            </w:pPr>
            <w:r w:rsidRPr="00E640DF">
              <w:rPr>
                <w:i/>
                <w:iCs/>
                <w:sz w:val="20"/>
                <w:szCs w:val="20"/>
              </w:rPr>
              <w:t>See supplemental Figure S1</w:t>
            </w:r>
          </w:p>
          <w:p w14:paraId="197C4AED" w14:textId="77777777" w:rsidR="007D6FB2" w:rsidRPr="00E640DF" w:rsidRDefault="007D6FB2" w:rsidP="00AB7F64">
            <w:pPr>
              <w:spacing w:after="120"/>
              <w:rPr>
                <w:sz w:val="20"/>
                <w:szCs w:val="20"/>
              </w:rPr>
            </w:pPr>
            <w:r w:rsidRPr="00E640DF">
              <w:rPr>
                <w:sz w:val="20"/>
                <w:szCs w:val="20"/>
              </w:rPr>
              <w:t xml:space="preserve">Example: A researcher wants to examine if the pace (slope) of children’s cognitive development after starting school is predicted by infections in the first years of life. Cognitive performance is reported as percentile </w:t>
            </w:r>
            <w:r>
              <w:rPr>
                <w:sz w:val="20"/>
                <w:szCs w:val="20"/>
              </w:rPr>
              <w:t xml:space="preserve">performance </w:t>
            </w:r>
            <w:r w:rsidRPr="00E640DF">
              <w:rPr>
                <w:sz w:val="20"/>
                <w:szCs w:val="20"/>
              </w:rPr>
              <w:t xml:space="preserve">of children of the same age. The researcher makes the following assumptions: A) Stability in cognitive performance (percentile) across childhood is due to a stable underlying liability/potential, and there are no causal effects of cognitive performance from one time </w:t>
            </w:r>
            <w:r>
              <w:rPr>
                <w:sz w:val="20"/>
                <w:szCs w:val="20"/>
              </w:rPr>
              <w:t xml:space="preserve">point </w:t>
            </w:r>
            <w:r w:rsidRPr="00E640DF">
              <w:rPr>
                <w:sz w:val="20"/>
                <w:szCs w:val="20"/>
              </w:rPr>
              <w:t>to the next. B) Infections (predictor) and cognitive performance (outcome) do not share underlying liability, but they may be affected by some of the same temporary baseline effects. For example, if a child happens to have an ongoing cold at the time of baseline assessment, the parent may be biased towards reporting more respiratory infections than the parent of a child that happened not to have a cold at the baseline assessment, even if they ha</w:t>
            </w:r>
            <w:r>
              <w:rPr>
                <w:sz w:val="20"/>
                <w:szCs w:val="20"/>
              </w:rPr>
              <w:t>ve</w:t>
            </w:r>
            <w:r w:rsidRPr="00E640DF">
              <w:rPr>
                <w:sz w:val="20"/>
                <w:szCs w:val="20"/>
              </w:rPr>
              <w:t xml:space="preserve"> the same history of respiratory infections. An ongoing cold at baseline may also affect the child’s baseline cognitive performance, but this effect is not carried forward to later time points.    </w:t>
            </w:r>
          </w:p>
          <w:p w14:paraId="505320C4" w14:textId="77777777" w:rsidR="007D6FB2" w:rsidRDefault="007D6FB2" w:rsidP="00AB7F64">
            <w:pPr>
              <w:spacing w:before="120" w:after="120"/>
              <w:rPr>
                <w:sz w:val="18"/>
                <w:szCs w:val="18"/>
              </w:rPr>
            </w:pPr>
          </w:p>
          <w:p w14:paraId="201CE1A9" w14:textId="77777777" w:rsidR="007D6FB2" w:rsidRDefault="007D6FB2" w:rsidP="00AB7F64">
            <w:pPr>
              <w:spacing w:before="120" w:after="120"/>
              <w:rPr>
                <w:sz w:val="18"/>
                <w:szCs w:val="18"/>
              </w:rPr>
            </w:pPr>
          </w:p>
          <w:p w14:paraId="0F09DDCC" w14:textId="77777777" w:rsidR="007D6FB2" w:rsidRPr="00DB7F42" w:rsidRDefault="007D6FB2" w:rsidP="00AB7F64">
            <w:pPr>
              <w:spacing w:before="120" w:after="120"/>
              <w:rPr>
                <w:sz w:val="18"/>
                <w:szCs w:val="18"/>
              </w:rPr>
            </w:pPr>
          </w:p>
        </w:tc>
        <w:tc>
          <w:tcPr>
            <w:tcW w:w="3685" w:type="dxa"/>
          </w:tcPr>
          <w:p w14:paraId="088EA6F1" w14:textId="77777777" w:rsidR="007D6FB2" w:rsidRPr="00E640DF" w:rsidRDefault="007D6FB2" w:rsidP="00AB7F64">
            <w:pPr>
              <w:spacing w:before="120"/>
              <w:rPr>
                <w:sz w:val="20"/>
                <w:szCs w:val="20"/>
              </w:rPr>
            </w:pPr>
            <w:r w:rsidRPr="00CE750A">
              <w:lastRenderedPageBreak/>
              <w:t>Scenario 2</w:t>
            </w:r>
            <w:r>
              <w:rPr>
                <w:sz w:val="18"/>
                <w:szCs w:val="18"/>
              </w:rPr>
              <w:t xml:space="preserve"> – </w:t>
            </w:r>
            <w:r>
              <w:rPr>
                <w:sz w:val="20"/>
                <w:szCs w:val="20"/>
              </w:rPr>
              <w:t>S</w:t>
            </w:r>
            <w:r w:rsidRPr="00E640DF">
              <w:rPr>
                <w:sz w:val="20"/>
                <w:szCs w:val="20"/>
              </w:rPr>
              <w:t xml:space="preserve">hared liability </w:t>
            </w:r>
            <w:r>
              <w:rPr>
                <w:sz w:val="20"/>
                <w:szCs w:val="20"/>
              </w:rPr>
              <w:t>and</w:t>
            </w:r>
            <w:r w:rsidRPr="00E640DF">
              <w:rPr>
                <w:sz w:val="20"/>
                <w:szCs w:val="20"/>
              </w:rPr>
              <w:t xml:space="preserve"> </w:t>
            </w:r>
            <w:r>
              <w:rPr>
                <w:sz w:val="20"/>
                <w:szCs w:val="20"/>
              </w:rPr>
              <w:t xml:space="preserve">shared </w:t>
            </w:r>
            <w:r w:rsidRPr="00E640DF">
              <w:rPr>
                <w:sz w:val="20"/>
                <w:szCs w:val="20"/>
              </w:rPr>
              <w:t>momentary effects</w:t>
            </w:r>
            <w:r>
              <w:rPr>
                <w:sz w:val="20"/>
                <w:szCs w:val="20"/>
              </w:rPr>
              <w:t>.</w:t>
            </w:r>
          </w:p>
          <w:p w14:paraId="63A71822" w14:textId="77777777" w:rsidR="007D6FB2" w:rsidRPr="00E640DF" w:rsidRDefault="007D6FB2" w:rsidP="00AB7F64">
            <w:pPr>
              <w:spacing w:before="120" w:after="120"/>
              <w:rPr>
                <w:i/>
                <w:iCs/>
                <w:sz w:val="20"/>
                <w:szCs w:val="20"/>
              </w:rPr>
            </w:pPr>
            <w:r w:rsidRPr="00E640DF">
              <w:rPr>
                <w:i/>
                <w:iCs/>
                <w:sz w:val="20"/>
                <w:szCs w:val="20"/>
              </w:rPr>
              <w:t>See supplemental Figure S2</w:t>
            </w:r>
          </w:p>
          <w:p w14:paraId="1C55AD1E" w14:textId="77777777" w:rsidR="007D6FB2" w:rsidRPr="00E640DF" w:rsidRDefault="007D6FB2" w:rsidP="00AB7F64">
            <w:pPr>
              <w:spacing w:after="120"/>
              <w:rPr>
                <w:sz w:val="20"/>
                <w:szCs w:val="20"/>
              </w:rPr>
            </w:pPr>
            <w:r w:rsidRPr="00E640DF">
              <w:rPr>
                <w:sz w:val="20"/>
                <w:szCs w:val="20"/>
              </w:rPr>
              <w:t xml:space="preserve">Example: A researcher wants to examine if poor sleep habits predict decreased cognitive performance (negative slope) in people after retirement. The researcher makes the following assumptions: A) Stability in cognitive performance </w:t>
            </w:r>
            <w:r>
              <w:rPr>
                <w:sz w:val="20"/>
                <w:szCs w:val="20"/>
              </w:rPr>
              <w:t xml:space="preserve">(outcome) </w:t>
            </w:r>
            <w:r w:rsidRPr="00E640DF">
              <w:rPr>
                <w:sz w:val="20"/>
                <w:szCs w:val="20"/>
              </w:rPr>
              <w:t>in older people is due to an underlying liability/potential, with no causal effects of cognitive performance from one time point to the next. B) Cognitive performance and sleeping habits</w:t>
            </w:r>
            <w:r>
              <w:rPr>
                <w:sz w:val="20"/>
                <w:szCs w:val="20"/>
              </w:rPr>
              <w:t xml:space="preserve"> (predictor)</w:t>
            </w:r>
            <w:r w:rsidRPr="00E640DF">
              <w:rPr>
                <w:sz w:val="20"/>
                <w:szCs w:val="20"/>
              </w:rPr>
              <w:t xml:space="preserve"> may share some liability (e.g., brain health). Baseline assessment of cognitive performance and sleeping habits may also be affected by some of the same temporary effects. For example, a person who happened to sleep extraordinarily poorly the night before the assessment, may have obtained a lower score than if the cognitive assessment was done a day earlier, and this poor night’s sleep may also have biased the self-reported towards more sleeping problems. The effect </w:t>
            </w:r>
            <w:r>
              <w:rPr>
                <w:sz w:val="20"/>
                <w:szCs w:val="20"/>
              </w:rPr>
              <w:t xml:space="preserve">on cognitive performance </w:t>
            </w:r>
            <w:r w:rsidRPr="00E640DF">
              <w:rPr>
                <w:sz w:val="20"/>
                <w:szCs w:val="20"/>
              </w:rPr>
              <w:t xml:space="preserve">of this </w:t>
            </w:r>
            <w:r w:rsidRPr="00E640DF">
              <w:rPr>
                <w:sz w:val="20"/>
                <w:szCs w:val="20"/>
              </w:rPr>
              <w:lastRenderedPageBreak/>
              <w:t xml:space="preserve">extraordinarily poor night’s sleep is not carried forward.  </w:t>
            </w:r>
          </w:p>
          <w:p w14:paraId="1DDF066E" w14:textId="77777777" w:rsidR="007D6FB2" w:rsidRPr="005D077C" w:rsidRDefault="007D6FB2" w:rsidP="00AB7F64">
            <w:pPr>
              <w:spacing w:before="120" w:after="120"/>
              <w:rPr>
                <w:sz w:val="18"/>
                <w:szCs w:val="18"/>
              </w:rPr>
            </w:pPr>
          </w:p>
        </w:tc>
        <w:tc>
          <w:tcPr>
            <w:tcW w:w="3549" w:type="dxa"/>
          </w:tcPr>
          <w:p w14:paraId="10067C16" w14:textId="77777777" w:rsidR="007D6FB2" w:rsidRPr="00E640DF" w:rsidRDefault="007D6FB2" w:rsidP="00AB7F64">
            <w:pPr>
              <w:spacing w:before="120"/>
              <w:rPr>
                <w:sz w:val="20"/>
                <w:szCs w:val="20"/>
              </w:rPr>
            </w:pPr>
            <w:r w:rsidRPr="00CE750A">
              <w:lastRenderedPageBreak/>
              <w:t>Scenario 3</w:t>
            </w:r>
            <w:r>
              <w:rPr>
                <w:sz w:val="18"/>
                <w:szCs w:val="18"/>
              </w:rPr>
              <w:t xml:space="preserve"> </w:t>
            </w:r>
            <w:r w:rsidRPr="00DF5CCC">
              <w:rPr>
                <w:sz w:val="18"/>
                <w:szCs w:val="18"/>
              </w:rPr>
              <w:t>–</w:t>
            </w:r>
            <w:r w:rsidRPr="00E640DF">
              <w:rPr>
                <w:sz w:val="20"/>
                <w:szCs w:val="20"/>
              </w:rPr>
              <w:t>Shared liability</w:t>
            </w:r>
            <w:r>
              <w:rPr>
                <w:sz w:val="20"/>
                <w:szCs w:val="20"/>
              </w:rPr>
              <w:t>.</w:t>
            </w:r>
            <w:r w:rsidRPr="00E640DF">
              <w:rPr>
                <w:sz w:val="20"/>
                <w:szCs w:val="20"/>
              </w:rPr>
              <w:t xml:space="preserve"> </w:t>
            </w:r>
          </w:p>
          <w:p w14:paraId="63D30E77" w14:textId="77777777" w:rsidR="007D6FB2" w:rsidRPr="00E640DF" w:rsidRDefault="007D6FB2" w:rsidP="00AB7F64">
            <w:pPr>
              <w:rPr>
                <w:i/>
                <w:iCs/>
                <w:sz w:val="20"/>
                <w:szCs w:val="20"/>
              </w:rPr>
            </w:pPr>
          </w:p>
          <w:p w14:paraId="32DEC718" w14:textId="77777777" w:rsidR="007D6FB2" w:rsidRPr="00E640DF" w:rsidRDefault="007D6FB2" w:rsidP="00AB7F64">
            <w:pPr>
              <w:spacing w:before="120" w:after="120"/>
              <w:rPr>
                <w:sz w:val="20"/>
                <w:szCs w:val="20"/>
              </w:rPr>
            </w:pPr>
            <w:r w:rsidRPr="00E640DF">
              <w:rPr>
                <w:i/>
                <w:iCs/>
                <w:sz w:val="20"/>
                <w:szCs w:val="20"/>
              </w:rPr>
              <w:t>See supplemental Figure S3</w:t>
            </w:r>
          </w:p>
          <w:p w14:paraId="2788B1B9" w14:textId="77777777" w:rsidR="007D6FB2" w:rsidRPr="005D077C" w:rsidRDefault="007D6FB2" w:rsidP="00AB7F64">
            <w:pPr>
              <w:spacing w:after="120"/>
              <w:rPr>
                <w:sz w:val="18"/>
                <w:szCs w:val="18"/>
              </w:rPr>
            </w:pPr>
            <w:r w:rsidRPr="00E640DF">
              <w:rPr>
                <w:sz w:val="20"/>
                <w:szCs w:val="20"/>
              </w:rPr>
              <w:t xml:space="preserve">Example: A researcher wants to examine if parental education predicts development (slope) in musical perception in children starting in </w:t>
            </w:r>
            <w:r>
              <w:rPr>
                <w:sz w:val="20"/>
                <w:szCs w:val="20"/>
              </w:rPr>
              <w:t xml:space="preserve">a </w:t>
            </w:r>
            <w:r w:rsidRPr="00E640DF">
              <w:rPr>
                <w:sz w:val="20"/>
                <w:szCs w:val="20"/>
              </w:rPr>
              <w:t xml:space="preserve">day care </w:t>
            </w:r>
            <w:r>
              <w:rPr>
                <w:sz w:val="20"/>
                <w:szCs w:val="20"/>
              </w:rPr>
              <w:t xml:space="preserve">program </w:t>
            </w:r>
            <w:r w:rsidRPr="00E640DF">
              <w:rPr>
                <w:sz w:val="20"/>
                <w:szCs w:val="20"/>
              </w:rPr>
              <w:t xml:space="preserve">with special focus on music. They make the following assumptions: A) Stability in musical perception </w:t>
            </w:r>
            <w:r>
              <w:rPr>
                <w:sz w:val="20"/>
                <w:szCs w:val="20"/>
              </w:rPr>
              <w:t xml:space="preserve">(outcome) </w:t>
            </w:r>
            <w:r w:rsidRPr="00E640DF">
              <w:rPr>
                <w:sz w:val="20"/>
                <w:szCs w:val="20"/>
              </w:rPr>
              <w:t xml:space="preserve">in these selected young children is entirely due to an underlying liability. There are no causal effects of musical perception performance at one time point to the next among </w:t>
            </w:r>
            <w:r>
              <w:rPr>
                <w:sz w:val="20"/>
                <w:szCs w:val="20"/>
              </w:rPr>
              <w:t>these children</w:t>
            </w:r>
            <w:r w:rsidRPr="00E640DF">
              <w:rPr>
                <w:sz w:val="20"/>
                <w:szCs w:val="20"/>
              </w:rPr>
              <w:t xml:space="preserve">. B) Parental education </w:t>
            </w:r>
            <w:r>
              <w:rPr>
                <w:sz w:val="20"/>
                <w:szCs w:val="20"/>
              </w:rPr>
              <w:t xml:space="preserve">(predictor) </w:t>
            </w:r>
            <w:r w:rsidRPr="00E640DF">
              <w:rPr>
                <w:sz w:val="20"/>
                <w:szCs w:val="20"/>
              </w:rPr>
              <w:t xml:space="preserve">and children’s musical ability share some </w:t>
            </w:r>
            <w:r>
              <w:rPr>
                <w:sz w:val="20"/>
                <w:szCs w:val="20"/>
              </w:rPr>
              <w:t xml:space="preserve">underlying </w:t>
            </w:r>
            <w:r w:rsidRPr="00E640DF">
              <w:rPr>
                <w:sz w:val="20"/>
                <w:szCs w:val="20"/>
              </w:rPr>
              <w:t>liability/potential. Baseline assessment of children’s musical perception and parental education do not share any factors with temporary effects.</w:t>
            </w:r>
            <w:r>
              <w:rPr>
                <w:sz w:val="18"/>
                <w:szCs w:val="18"/>
              </w:rPr>
              <w:t xml:space="preserve">  </w:t>
            </w:r>
          </w:p>
        </w:tc>
      </w:tr>
      <w:tr w:rsidR="007D6FB2" w14:paraId="54FCA4B5" w14:textId="77777777" w:rsidTr="00AB7F64">
        <w:tc>
          <w:tcPr>
            <w:tcW w:w="1560" w:type="dxa"/>
          </w:tcPr>
          <w:p w14:paraId="7D5F9A6C" w14:textId="77777777" w:rsidR="007D6FB2" w:rsidRPr="00900D8F" w:rsidRDefault="007D6FB2" w:rsidP="00AB7F64">
            <w:pPr>
              <w:spacing w:before="120" w:after="120"/>
            </w:pPr>
          </w:p>
        </w:tc>
        <w:tc>
          <w:tcPr>
            <w:tcW w:w="4389" w:type="dxa"/>
          </w:tcPr>
          <w:p w14:paraId="57B4275B" w14:textId="77777777" w:rsidR="007D6FB2" w:rsidRPr="00227559" w:rsidRDefault="007D6FB2" w:rsidP="00AB7F64">
            <w:pPr>
              <w:spacing w:before="120"/>
              <w:rPr>
                <w:sz w:val="20"/>
                <w:szCs w:val="20"/>
              </w:rPr>
            </w:pPr>
            <w:r>
              <mc:AlternateContent>
                <mc:Choice Requires="wps">
                  <w:drawing>
                    <wp:anchor distT="0" distB="0" distL="114300" distR="114300" simplePos="0" relativeHeight="251660288" behindDoc="0" locked="0" layoutInCell="1" allowOverlap="1" wp14:anchorId="2F4004EA" wp14:editId="460962D1">
                      <wp:simplePos x="0" y="0"/>
                      <wp:positionH relativeFrom="column">
                        <wp:posOffset>-1043940</wp:posOffset>
                      </wp:positionH>
                      <wp:positionV relativeFrom="paragraph">
                        <wp:posOffset>118745</wp:posOffset>
                      </wp:positionV>
                      <wp:extent cx="815340" cy="1325880"/>
                      <wp:effectExtent l="0" t="0" r="3810" b="7620"/>
                      <wp:wrapNone/>
                      <wp:docPr id="752271407" name="Text Box 1"/>
                      <wp:cNvGraphicFramePr/>
                      <a:graphic xmlns:a="http://schemas.openxmlformats.org/drawingml/2006/main">
                        <a:graphicData uri="http://schemas.microsoft.com/office/word/2010/wordprocessingShape">
                          <wps:wsp>
                            <wps:cNvSpPr txBox="1"/>
                            <wps:spPr>
                              <a:xfrm>
                                <a:off x="0" y="0"/>
                                <a:ext cx="815340" cy="1325880"/>
                              </a:xfrm>
                              <a:prstGeom prst="rect">
                                <a:avLst/>
                              </a:prstGeom>
                              <a:solidFill>
                                <a:schemeClr val="lt1"/>
                              </a:solidFill>
                              <a:ln w="6350">
                                <a:noFill/>
                              </a:ln>
                            </wps:spPr>
                            <wps:txbx>
                              <w:txbxContent>
                                <w:p w14:paraId="5DC4A08D" w14:textId="77777777" w:rsidR="007D6FB2" w:rsidRDefault="007D6FB2" w:rsidP="007D6FB2">
                                  <w:pPr>
                                    <w:spacing w:after="0" w:line="360" w:lineRule="auto"/>
                                  </w:pPr>
                                  <w:r w:rsidRPr="00900D8F">
                                    <w:t xml:space="preserve">Underlying </w:t>
                                  </w:r>
                                </w:p>
                                <w:p w14:paraId="5B502793" w14:textId="77777777" w:rsidR="007D6FB2" w:rsidRDefault="007D6FB2" w:rsidP="007D6FB2">
                                  <w:pPr>
                                    <w:spacing w:after="0" w:line="360" w:lineRule="auto"/>
                                  </w:pPr>
                                  <w:r w:rsidRPr="00900D8F">
                                    <w:t>Liability</w:t>
                                  </w:r>
                                  <w:r>
                                    <w:t xml:space="preserve"> and lagged effects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004EA" id="_x0000_s1027" type="#_x0000_t202" style="position:absolute;margin-left:-82.2pt;margin-top:9.35pt;width:64.2pt;height:10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ndMLgIAAFsEAAAOAAAAZHJzL2Uyb0RvYy54bWysVEtv2zAMvg/YfxB0Xxzn0aVBnCJLkWFA&#10;0BZIh54VWYoFyKImKbGzXz9KzmvdTsMuMilSfHwf6dlDW2tyEM4rMAXNe31KhOFQKrMr6PfX1acJ&#10;JT4wUzINRhT0KDx9mH/8MGvsVAygAl0KRzCI8dPGFrQKwU6zzPNK1Mz3wAqDRgmuZgFVt8tKxxqM&#10;Xuts0O/fZQ240jrgwnu8feyMdJ7iSyl4eJbSi0B0QbG2kE6Xzm08s/mMTXeO2UrxUxnsH6qomTKY&#10;9BLqkQVG9k79EapW3IEHGXoc6gykVFykHrCbvP+um03FrEi9IDjeXmDy/y8sfzps7Isjof0CLRIY&#10;AWmsn3q8jP200tXxi5UStCOExwtsog2E4+UkHw9HaOFoyoeD8WSScM2ur63z4auAmkShoA5pSWix&#10;w9oHzIiuZ5eYzINW5UppnZQ4CmKpHTkwJFGHVCO++M1LG9IU9G447qfABuLzLrI2mODaU5RCu22J&#10;Km/63UJ5RBgcdBPiLV8prHXNfHhhDkcC+8MxD894SA2YC04SJRW4n3+7j/7IFFopaXDECup/7JkT&#10;lOhvBjm8z0cRtpCU0fjzABV3a9neWsy+XgICkONCWZ7E6B/0WZQO6jfchkXMiiZmOOYuaDiLy9AN&#10;Pm4TF4tFcsIptCyszcbyGDoCHpl4bd+Ysye6AhL9BOdhZNN3rHW+8aWBxT6AVInSiHOH6gl+nODE&#10;9Gnb4orc6snr+k+Y/wIAAP//AwBQSwMEFAAGAAgAAAAhANaaXv/jAAAACwEAAA8AAABkcnMvZG93&#10;bnJldi54bWxMj8tugzAQRfeV8g/WROqmIiaQQEQxUVX1IXXX0Ie6c7ADKHiMsAP07ztdtcvRPbpz&#10;br6fTcdGPbjWooD1KgSmsbKqxVrAW/kY7IA5L1HJzqIW8K0d7IvFVS4zZSd81ePB14xK0GVSQON9&#10;n3HuqkYb6Va210jZyQ5GejqHmqtBTlRuOh6FYcKNbJE+NLLX942uzoeLEfB1U3++uPnpfYq3cf/w&#10;PJbphyqFuF7Od7fAvJ79Hwy/+qQOBTkd7QWVY52AYJ1sNsRSskuBERHECa07CoiidAu8yPn/DcUP&#10;AAAA//8DAFBLAQItABQABgAIAAAAIQC2gziS/gAAAOEBAAATAAAAAAAAAAAAAAAAAAAAAABbQ29u&#10;dGVudF9UeXBlc10ueG1sUEsBAi0AFAAGAAgAAAAhADj9If/WAAAAlAEAAAsAAAAAAAAAAAAAAAAA&#10;LwEAAF9yZWxzLy5yZWxzUEsBAi0AFAAGAAgAAAAhAHGed0wuAgAAWwQAAA4AAAAAAAAAAAAAAAAA&#10;LgIAAGRycy9lMm9Eb2MueG1sUEsBAi0AFAAGAAgAAAAhANaaXv/jAAAACwEAAA8AAAAAAAAAAAAA&#10;AAAAiAQAAGRycy9kb3ducmV2LnhtbFBLBQYAAAAABAAEAPMAAACYBQAAAAA=&#10;" fillcolor="white [3201]" stroked="f" strokeweight=".5pt">
                      <v:textbox>
                        <w:txbxContent>
                          <w:p w14:paraId="5DC4A08D" w14:textId="77777777" w:rsidR="007D6FB2" w:rsidRDefault="007D6FB2" w:rsidP="007D6FB2">
                            <w:pPr>
                              <w:spacing w:after="0" w:line="360" w:lineRule="auto"/>
                            </w:pPr>
                            <w:r w:rsidRPr="00900D8F">
                              <w:t xml:space="preserve">Underlying </w:t>
                            </w:r>
                          </w:p>
                          <w:p w14:paraId="5B502793" w14:textId="77777777" w:rsidR="007D6FB2" w:rsidRDefault="007D6FB2" w:rsidP="007D6FB2">
                            <w:pPr>
                              <w:spacing w:after="0" w:line="360" w:lineRule="auto"/>
                            </w:pPr>
                            <w:r w:rsidRPr="00900D8F">
                              <w:t>Liability</w:t>
                            </w:r>
                            <w:r>
                              <w:t xml:space="preserve"> and lagged effects</w:t>
                            </w:r>
                          </w:p>
                        </w:txbxContent>
                      </v:textbox>
                    </v:shape>
                  </w:pict>
                </mc:Fallback>
              </mc:AlternateContent>
            </w:r>
            <w:r w:rsidRPr="000560CA">
              <w:t>Scenario 4</w:t>
            </w:r>
            <w:r>
              <w:rPr>
                <w:sz w:val="18"/>
                <w:szCs w:val="18"/>
              </w:rPr>
              <w:t xml:space="preserve"> </w:t>
            </w:r>
            <w:r w:rsidRPr="00DF5CCC">
              <w:rPr>
                <w:sz w:val="18"/>
                <w:szCs w:val="18"/>
              </w:rPr>
              <w:t xml:space="preserve">- </w:t>
            </w:r>
            <w:r>
              <w:rPr>
                <w:sz w:val="18"/>
                <w:szCs w:val="18"/>
              </w:rPr>
              <w:t>S</w:t>
            </w:r>
            <w:r w:rsidRPr="00227559">
              <w:rPr>
                <w:sz w:val="20"/>
                <w:szCs w:val="20"/>
              </w:rPr>
              <w:t xml:space="preserve">hared </w:t>
            </w:r>
            <w:r>
              <w:rPr>
                <w:sz w:val="20"/>
                <w:szCs w:val="20"/>
              </w:rPr>
              <w:t xml:space="preserve">waning </w:t>
            </w:r>
            <w:r w:rsidRPr="00227559">
              <w:rPr>
                <w:sz w:val="20"/>
                <w:szCs w:val="20"/>
              </w:rPr>
              <w:t xml:space="preserve">residual effects. </w:t>
            </w:r>
          </w:p>
          <w:p w14:paraId="3556AD4B" w14:textId="77777777" w:rsidR="007D6FB2" w:rsidRPr="00227559" w:rsidRDefault="007D6FB2" w:rsidP="00AB7F64">
            <w:pPr>
              <w:rPr>
                <w:sz w:val="20"/>
                <w:szCs w:val="20"/>
              </w:rPr>
            </w:pPr>
          </w:p>
          <w:p w14:paraId="5942EAEA" w14:textId="77777777" w:rsidR="007D6FB2" w:rsidRPr="00227559" w:rsidRDefault="007D6FB2" w:rsidP="00AB7F64">
            <w:pPr>
              <w:spacing w:before="120" w:after="120"/>
              <w:rPr>
                <w:i/>
                <w:iCs/>
                <w:sz w:val="20"/>
                <w:szCs w:val="20"/>
              </w:rPr>
            </w:pPr>
            <w:r w:rsidRPr="00227559">
              <w:rPr>
                <w:i/>
                <w:iCs/>
                <w:sz w:val="20"/>
                <w:szCs w:val="20"/>
              </w:rPr>
              <w:t>See supplemental Figure S4</w:t>
            </w:r>
          </w:p>
          <w:p w14:paraId="773AF696" w14:textId="77777777" w:rsidR="007D6FB2" w:rsidRPr="006F5E8E" w:rsidRDefault="007D6FB2" w:rsidP="00AB7F64">
            <w:pPr>
              <w:spacing w:after="120"/>
              <w:rPr>
                <w:sz w:val="18"/>
                <w:szCs w:val="18"/>
              </w:rPr>
            </w:pPr>
            <w:r w:rsidRPr="00227559">
              <w:rPr>
                <w:sz w:val="20"/>
                <w:szCs w:val="20"/>
              </w:rPr>
              <w:t xml:space="preserve">Example: A researcher wants to examine if </w:t>
            </w:r>
            <w:r>
              <w:rPr>
                <w:sz w:val="20"/>
                <w:szCs w:val="20"/>
              </w:rPr>
              <w:t xml:space="preserve">not </w:t>
            </w:r>
            <w:r w:rsidRPr="00227559">
              <w:rPr>
                <w:sz w:val="20"/>
                <w:szCs w:val="20"/>
              </w:rPr>
              <w:t>feeling close to friends predicts increase (slope) in</w:t>
            </w:r>
            <w:r>
              <w:rPr>
                <w:sz w:val="20"/>
                <w:szCs w:val="20"/>
              </w:rPr>
              <w:t xml:space="preserve"> people’s</w:t>
            </w:r>
            <w:r w:rsidRPr="00227559">
              <w:rPr>
                <w:sz w:val="20"/>
                <w:szCs w:val="20"/>
              </w:rPr>
              <w:t xml:space="preserve"> alcohol use after retirement and makes the following assumptions: A) Stability in alcohol use</w:t>
            </w:r>
            <w:r>
              <w:rPr>
                <w:sz w:val="20"/>
                <w:szCs w:val="20"/>
              </w:rPr>
              <w:t xml:space="preserve"> (outcome)</w:t>
            </w:r>
            <w:r w:rsidRPr="00227559">
              <w:rPr>
                <w:sz w:val="20"/>
                <w:szCs w:val="20"/>
              </w:rPr>
              <w:t xml:space="preserve"> is due to an underlying liability as well as lagged paths (i.e., heavy drinking at one time point increases tolerance and addiction to alcohol, thus maintaining the risk of drinking heavily</w:t>
            </w:r>
            <w:r>
              <w:rPr>
                <w:sz w:val="20"/>
                <w:szCs w:val="20"/>
              </w:rPr>
              <w:t xml:space="preserve"> at the next time point</w:t>
            </w:r>
            <w:r w:rsidRPr="00227559">
              <w:rPr>
                <w:sz w:val="20"/>
                <w:szCs w:val="20"/>
              </w:rPr>
              <w:t xml:space="preserve">). B) </w:t>
            </w:r>
            <w:r>
              <w:rPr>
                <w:sz w:val="20"/>
                <w:szCs w:val="20"/>
              </w:rPr>
              <w:t>Not f</w:t>
            </w:r>
            <w:r w:rsidRPr="00227559">
              <w:rPr>
                <w:sz w:val="20"/>
                <w:szCs w:val="20"/>
              </w:rPr>
              <w:t xml:space="preserve">eeling close to friends </w:t>
            </w:r>
            <w:r>
              <w:rPr>
                <w:sz w:val="20"/>
                <w:szCs w:val="20"/>
              </w:rPr>
              <w:t xml:space="preserve">(predictor) </w:t>
            </w:r>
            <w:r w:rsidRPr="00227559">
              <w:rPr>
                <w:sz w:val="20"/>
                <w:szCs w:val="20"/>
              </w:rPr>
              <w:t>and alcohol use do not share liability, but baseline factors such as a mild depression in response to getting retired, may lead to temporar</w:t>
            </w:r>
            <w:r>
              <w:rPr>
                <w:sz w:val="20"/>
                <w:szCs w:val="20"/>
              </w:rPr>
              <w:t>ily</w:t>
            </w:r>
            <w:r w:rsidRPr="00227559">
              <w:rPr>
                <w:sz w:val="20"/>
                <w:szCs w:val="20"/>
              </w:rPr>
              <w:t xml:space="preserve"> more drinking as well as under-reporting of close friends. This effect on drinking </w:t>
            </w:r>
            <w:r>
              <w:rPr>
                <w:sz w:val="20"/>
                <w:szCs w:val="20"/>
              </w:rPr>
              <w:t xml:space="preserve">is carried forward, but </w:t>
            </w:r>
            <w:r w:rsidRPr="00227559">
              <w:rPr>
                <w:sz w:val="20"/>
                <w:szCs w:val="20"/>
              </w:rPr>
              <w:t>wanes gradually.</w:t>
            </w:r>
          </w:p>
        </w:tc>
        <w:tc>
          <w:tcPr>
            <w:tcW w:w="3685" w:type="dxa"/>
          </w:tcPr>
          <w:p w14:paraId="2C12C1B1" w14:textId="77777777" w:rsidR="007D6FB2" w:rsidRPr="00227559" w:rsidRDefault="007D6FB2" w:rsidP="00AB7F64">
            <w:pPr>
              <w:spacing w:before="120"/>
              <w:rPr>
                <w:sz w:val="20"/>
                <w:szCs w:val="20"/>
              </w:rPr>
            </w:pPr>
            <w:r w:rsidRPr="000560CA">
              <w:t>Scenario 5</w:t>
            </w:r>
            <w:r>
              <w:rPr>
                <w:sz w:val="18"/>
                <w:szCs w:val="18"/>
              </w:rPr>
              <w:t xml:space="preserve"> –S</w:t>
            </w:r>
            <w:r>
              <w:rPr>
                <w:sz w:val="20"/>
                <w:szCs w:val="20"/>
              </w:rPr>
              <w:t xml:space="preserve">hared liability and shared </w:t>
            </w:r>
            <w:r w:rsidRPr="00227559">
              <w:rPr>
                <w:sz w:val="20"/>
                <w:szCs w:val="20"/>
              </w:rPr>
              <w:t>waning</w:t>
            </w:r>
            <w:r>
              <w:rPr>
                <w:sz w:val="20"/>
                <w:szCs w:val="20"/>
              </w:rPr>
              <w:t xml:space="preserve"> </w:t>
            </w:r>
            <w:r w:rsidRPr="00227559">
              <w:rPr>
                <w:sz w:val="20"/>
                <w:szCs w:val="20"/>
              </w:rPr>
              <w:t>residual effects.</w:t>
            </w:r>
          </w:p>
          <w:p w14:paraId="669D7E09" w14:textId="77777777" w:rsidR="007D6FB2" w:rsidRPr="00227559" w:rsidRDefault="007D6FB2" w:rsidP="00AB7F64">
            <w:pPr>
              <w:spacing w:before="120" w:after="120"/>
              <w:rPr>
                <w:i/>
                <w:iCs/>
                <w:sz w:val="20"/>
                <w:szCs w:val="20"/>
              </w:rPr>
            </w:pPr>
            <w:r w:rsidRPr="00227559">
              <w:rPr>
                <w:i/>
                <w:iCs/>
                <w:sz w:val="20"/>
                <w:szCs w:val="20"/>
              </w:rPr>
              <w:t>See supplemental Figure S5</w:t>
            </w:r>
          </w:p>
          <w:p w14:paraId="42F91E33" w14:textId="77777777" w:rsidR="007D6FB2" w:rsidRPr="009E2175" w:rsidRDefault="007D6FB2" w:rsidP="00AB7F64">
            <w:pPr>
              <w:spacing w:after="120"/>
              <w:rPr>
                <w:sz w:val="20"/>
                <w:szCs w:val="20"/>
              </w:rPr>
            </w:pPr>
            <w:r w:rsidRPr="00227559">
              <w:rPr>
                <w:sz w:val="20"/>
                <w:szCs w:val="20"/>
              </w:rPr>
              <w:t xml:space="preserve">Example: A researcher wants to examine if loneliness predicts increase (slope) in depression over time and makes the following assumptions: A) Stability in depression </w:t>
            </w:r>
            <w:r>
              <w:rPr>
                <w:sz w:val="20"/>
                <w:szCs w:val="20"/>
              </w:rPr>
              <w:t xml:space="preserve">(outcome) </w:t>
            </w:r>
            <w:r w:rsidRPr="00227559">
              <w:rPr>
                <w:sz w:val="20"/>
                <w:szCs w:val="20"/>
              </w:rPr>
              <w:t xml:space="preserve">is due to an underlying liability as well as lagged effects (i.e., depression at one time point has negative consequences for a person’s life, </w:t>
            </w:r>
            <w:r>
              <w:rPr>
                <w:sz w:val="20"/>
                <w:szCs w:val="20"/>
              </w:rPr>
              <w:t xml:space="preserve">thus </w:t>
            </w:r>
            <w:r w:rsidRPr="00227559">
              <w:rPr>
                <w:sz w:val="20"/>
                <w:szCs w:val="20"/>
              </w:rPr>
              <w:t xml:space="preserve">maintaining the depressive symptoms). B) Loneliness </w:t>
            </w:r>
            <w:r>
              <w:rPr>
                <w:sz w:val="20"/>
                <w:szCs w:val="20"/>
              </w:rPr>
              <w:t xml:space="preserve">(predictor) </w:t>
            </w:r>
            <w:r w:rsidRPr="00227559">
              <w:rPr>
                <w:sz w:val="20"/>
                <w:szCs w:val="20"/>
              </w:rPr>
              <w:t xml:space="preserve">and depression share some liability (e.g., genetic effects). In addition, baseline measures of loneliness and depression are affected by some of the same factors with temporary effects (e.g., a recent serious quarrel with a partner). This effect on depression </w:t>
            </w:r>
            <w:r>
              <w:rPr>
                <w:sz w:val="20"/>
                <w:szCs w:val="20"/>
              </w:rPr>
              <w:t>is carried forward, but</w:t>
            </w:r>
            <w:r w:rsidRPr="00227559">
              <w:rPr>
                <w:sz w:val="20"/>
                <w:szCs w:val="20"/>
              </w:rPr>
              <w:t xml:space="preserve"> wanes gradually.</w:t>
            </w:r>
            <w:r w:rsidRPr="009E2175">
              <w:rPr>
                <w:sz w:val="20"/>
                <w:szCs w:val="20"/>
              </w:rPr>
              <w:t xml:space="preserve"> </w:t>
            </w:r>
          </w:p>
          <w:p w14:paraId="6A0858D3" w14:textId="77777777" w:rsidR="007D6FB2" w:rsidRDefault="007D6FB2" w:rsidP="00AB7F64">
            <w:pPr>
              <w:spacing w:after="120"/>
              <w:rPr>
                <w:sz w:val="18"/>
                <w:szCs w:val="18"/>
              </w:rPr>
            </w:pPr>
          </w:p>
          <w:p w14:paraId="5D448FBC" w14:textId="77777777" w:rsidR="007D6FB2" w:rsidRDefault="007D6FB2" w:rsidP="00AB7F64">
            <w:pPr>
              <w:spacing w:after="120"/>
              <w:rPr>
                <w:sz w:val="18"/>
                <w:szCs w:val="18"/>
              </w:rPr>
            </w:pPr>
          </w:p>
          <w:p w14:paraId="2A4B0D85" w14:textId="77777777" w:rsidR="007D6FB2" w:rsidRDefault="007D6FB2" w:rsidP="00AB7F64">
            <w:pPr>
              <w:spacing w:after="120"/>
              <w:rPr>
                <w:sz w:val="18"/>
                <w:szCs w:val="18"/>
              </w:rPr>
            </w:pPr>
          </w:p>
          <w:p w14:paraId="1C526236" w14:textId="77777777" w:rsidR="007D6FB2" w:rsidRDefault="007D6FB2" w:rsidP="00AB7F64">
            <w:pPr>
              <w:spacing w:after="120"/>
              <w:rPr>
                <w:sz w:val="18"/>
                <w:szCs w:val="18"/>
              </w:rPr>
            </w:pPr>
          </w:p>
          <w:p w14:paraId="1F8E829E" w14:textId="77777777" w:rsidR="007D6FB2" w:rsidRDefault="007D6FB2" w:rsidP="00AB7F64">
            <w:pPr>
              <w:spacing w:after="120"/>
              <w:rPr>
                <w:sz w:val="18"/>
                <w:szCs w:val="18"/>
              </w:rPr>
            </w:pPr>
          </w:p>
          <w:p w14:paraId="3935A870" w14:textId="77777777" w:rsidR="007D6FB2" w:rsidRDefault="007D6FB2" w:rsidP="00AB7F64">
            <w:pPr>
              <w:spacing w:after="120"/>
              <w:rPr>
                <w:sz w:val="18"/>
                <w:szCs w:val="18"/>
              </w:rPr>
            </w:pPr>
          </w:p>
          <w:p w14:paraId="5A8B9DA3" w14:textId="77777777" w:rsidR="007D6FB2" w:rsidRDefault="007D6FB2" w:rsidP="00AB7F64">
            <w:pPr>
              <w:spacing w:after="120"/>
              <w:rPr>
                <w:sz w:val="18"/>
                <w:szCs w:val="18"/>
              </w:rPr>
            </w:pPr>
          </w:p>
          <w:p w14:paraId="392B64F6" w14:textId="77777777" w:rsidR="007D6FB2" w:rsidRDefault="007D6FB2" w:rsidP="00AB7F64">
            <w:pPr>
              <w:spacing w:after="120"/>
              <w:rPr>
                <w:sz w:val="18"/>
                <w:szCs w:val="18"/>
              </w:rPr>
            </w:pPr>
          </w:p>
          <w:p w14:paraId="50CCF6AD" w14:textId="77777777" w:rsidR="007D6FB2" w:rsidRDefault="007D6FB2" w:rsidP="00AB7F64">
            <w:pPr>
              <w:spacing w:after="120"/>
              <w:rPr>
                <w:sz w:val="18"/>
                <w:szCs w:val="18"/>
              </w:rPr>
            </w:pPr>
          </w:p>
          <w:p w14:paraId="6220255C" w14:textId="77777777" w:rsidR="007D6FB2" w:rsidRPr="006F5E8E" w:rsidRDefault="007D6FB2" w:rsidP="00AB7F64">
            <w:pPr>
              <w:spacing w:after="120"/>
              <w:rPr>
                <w:sz w:val="18"/>
                <w:szCs w:val="18"/>
              </w:rPr>
            </w:pPr>
          </w:p>
        </w:tc>
        <w:tc>
          <w:tcPr>
            <w:tcW w:w="3549" w:type="dxa"/>
          </w:tcPr>
          <w:p w14:paraId="06462473" w14:textId="77777777" w:rsidR="007D6FB2" w:rsidRPr="00227559" w:rsidRDefault="007D6FB2" w:rsidP="00AB7F64">
            <w:pPr>
              <w:spacing w:before="120"/>
              <w:rPr>
                <w:sz w:val="20"/>
                <w:szCs w:val="20"/>
              </w:rPr>
            </w:pPr>
            <w:r w:rsidRPr="000560CA">
              <w:lastRenderedPageBreak/>
              <w:t xml:space="preserve">Scenario 6 </w:t>
            </w:r>
            <w:r w:rsidRPr="00DF5CCC">
              <w:rPr>
                <w:sz w:val="18"/>
                <w:szCs w:val="18"/>
              </w:rPr>
              <w:t xml:space="preserve">– </w:t>
            </w:r>
            <w:proofErr w:type="gramStart"/>
            <w:r w:rsidRPr="00227559">
              <w:rPr>
                <w:sz w:val="20"/>
                <w:szCs w:val="20"/>
              </w:rPr>
              <w:t>Shared liability</w:t>
            </w:r>
            <w:r>
              <w:rPr>
                <w:sz w:val="20"/>
                <w:szCs w:val="20"/>
              </w:rPr>
              <w:t>,</w:t>
            </w:r>
            <w:proofErr w:type="gramEnd"/>
            <w:r>
              <w:rPr>
                <w:sz w:val="20"/>
                <w:szCs w:val="20"/>
              </w:rPr>
              <w:t xml:space="preserve"> </w:t>
            </w:r>
            <w:r w:rsidRPr="00227559">
              <w:rPr>
                <w:sz w:val="20"/>
                <w:szCs w:val="20"/>
              </w:rPr>
              <w:t>lagged residuals.</w:t>
            </w:r>
          </w:p>
          <w:p w14:paraId="4BF10414" w14:textId="77777777" w:rsidR="007D6FB2" w:rsidRPr="00227559" w:rsidRDefault="007D6FB2" w:rsidP="00AB7F64">
            <w:pPr>
              <w:spacing w:before="120" w:after="120"/>
              <w:rPr>
                <w:i/>
                <w:iCs/>
                <w:sz w:val="20"/>
                <w:szCs w:val="20"/>
              </w:rPr>
            </w:pPr>
            <w:r w:rsidRPr="00227559">
              <w:rPr>
                <w:i/>
                <w:iCs/>
                <w:sz w:val="20"/>
                <w:szCs w:val="20"/>
              </w:rPr>
              <w:t>See supplemental Figure S6</w:t>
            </w:r>
          </w:p>
          <w:p w14:paraId="783644DC" w14:textId="77777777" w:rsidR="007D6FB2" w:rsidRPr="006F5E8E" w:rsidRDefault="007D6FB2" w:rsidP="00AB7F64">
            <w:pPr>
              <w:spacing w:after="120"/>
              <w:rPr>
                <w:sz w:val="18"/>
                <w:szCs w:val="18"/>
              </w:rPr>
            </w:pPr>
            <w:r w:rsidRPr="00227559">
              <w:rPr>
                <w:sz w:val="20"/>
                <w:szCs w:val="20"/>
              </w:rPr>
              <w:t xml:space="preserve">Example: A researcher wants to examine if </w:t>
            </w:r>
            <w:r>
              <w:rPr>
                <w:sz w:val="20"/>
                <w:szCs w:val="20"/>
              </w:rPr>
              <w:t>living alone</w:t>
            </w:r>
            <w:r w:rsidRPr="00227559">
              <w:rPr>
                <w:sz w:val="20"/>
                <w:szCs w:val="20"/>
              </w:rPr>
              <w:t xml:space="preserve"> predicts decrease (negative slope) in mental health over time after becoming unemployed. They make the following assumptions: A) Stability in mental health</w:t>
            </w:r>
            <w:r>
              <w:rPr>
                <w:sz w:val="20"/>
                <w:szCs w:val="20"/>
              </w:rPr>
              <w:t xml:space="preserve"> (outcome)</w:t>
            </w:r>
            <w:r w:rsidRPr="00227559">
              <w:rPr>
                <w:sz w:val="20"/>
                <w:szCs w:val="20"/>
              </w:rPr>
              <w:t xml:space="preserve"> is due to an underlying liability as well as lagged effects (i.e., poor mental health has negative consequences that maintain such problems). B) </w:t>
            </w:r>
            <w:r>
              <w:rPr>
                <w:sz w:val="20"/>
                <w:szCs w:val="20"/>
              </w:rPr>
              <w:t>Living alone (predictor)</w:t>
            </w:r>
            <w:r w:rsidRPr="00227559">
              <w:rPr>
                <w:sz w:val="20"/>
                <w:szCs w:val="20"/>
              </w:rPr>
              <w:t xml:space="preserve"> and liability for mental health problems share some causes (e.g., genetics). The baseline mental health measure and report of marital status do not share any factors with temporary effects.</w:t>
            </w:r>
            <w:r>
              <w:rPr>
                <w:sz w:val="18"/>
                <w:szCs w:val="18"/>
              </w:rPr>
              <w:t xml:space="preserve">  </w:t>
            </w:r>
          </w:p>
        </w:tc>
      </w:tr>
      <w:tr w:rsidR="007D6FB2" w14:paraId="2AF4B163" w14:textId="77777777" w:rsidTr="00AB7F64">
        <w:tc>
          <w:tcPr>
            <w:tcW w:w="1560" w:type="dxa"/>
          </w:tcPr>
          <w:p w14:paraId="7B478619" w14:textId="77777777" w:rsidR="007D6FB2" w:rsidRDefault="007D6FB2" w:rsidP="00AB7F64">
            <w:pPr>
              <w:spacing w:before="120" w:after="120"/>
            </w:pPr>
            <w:r>
              <w:rPr>
                <w:noProof/>
              </w:rPr>
              <mc:AlternateContent>
                <mc:Choice Requires="wps">
                  <w:drawing>
                    <wp:anchor distT="0" distB="0" distL="114300" distR="114300" simplePos="0" relativeHeight="251661312" behindDoc="0" locked="0" layoutInCell="1" allowOverlap="1" wp14:anchorId="7120D5A6" wp14:editId="13B12676">
                      <wp:simplePos x="0" y="0"/>
                      <wp:positionH relativeFrom="column">
                        <wp:posOffset>-45720</wp:posOffset>
                      </wp:positionH>
                      <wp:positionV relativeFrom="paragraph">
                        <wp:posOffset>86360</wp:posOffset>
                      </wp:positionV>
                      <wp:extent cx="815340" cy="853440"/>
                      <wp:effectExtent l="0" t="0" r="3810" b="3810"/>
                      <wp:wrapNone/>
                      <wp:docPr id="1093203694" name="Text Box 1"/>
                      <wp:cNvGraphicFramePr/>
                      <a:graphic xmlns:a="http://schemas.openxmlformats.org/drawingml/2006/main">
                        <a:graphicData uri="http://schemas.microsoft.com/office/word/2010/wordprocessingShape">
                          <wps:wsp>
                            <wps:cNvSpPr txBox="1"/>
                            <wps:spPr>
                              <a:xfrm>
                                <a:off x="0" y="0"/>
                                <a:ext cx="815340" cy="853440"/>
                              </a:xfrm>
                              <a:prstGeom prst="rect">
                                <a:avLst/>
                              </a:prstGeom>
                              <a:solidFill>
                                <a:schemeClr val="lt1"/>
                              </a:solidFill>
                              <a:ln w="6350">
                                <a:noFill/>
                              </a:ln>
                            </wps:spPr>
                            <wps:txbx>
                              <w:txbxContent>
                                <w:p w14:paraId="1C93B02E" w14:textId="77777777" w:rsidR="007D6FB2" w:rsidRDefault="007D6FB2" w:rsidP="007D6FB2">
                                  <w:pPr>
                                    <w:spacing w:after="0" w:line="360" w:lineRule="auto"/>
                                  </w:pPr>
                                  <w:r>
                                    <w:t xml:space="preserve">Lagged </w:t>
                                  </w:r>
                                  <w:proofErr w:type="gramStart"/>
                                  <w:r>
                                    <w:t>effects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0D5A6" id="_x0000_s1028" type="#_x0000_t202" style="position:absolute;margin-left:-3.6pt;margin-top:6.8pt;width:64.2pt;height:6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Ab/LQIAAFoEAAAOAAAAZHJzL2Uyb0RvYy54bWysVE1v2zAMvQ/YfxB0X5ykTZcGcYosRYYB&#10;QVsgHXpWZDkWIIuaxMTOfv0oOV/rdhp2kUmReiQfSU8f2tqwvfJBg835oNfnTFkJhbbbnH9/XX4a&#10;cxZQ2EIYsCrnBxX4w+zjh2njJmoIFZhCeUYgNkwal/MK0U2yLMhK1SL0wClLxhJ8LZBUv80KLxpC&#10;r0027PfvsgZ84TxIFQLdPnZGPkv4ZakkPpdlUMhMzik3TKdP5yae2WwqJlsvXKXlMQ3xD1nUQlsK&#10;eoZ6FCjYzus/oGotPQQosSehzqAstVSpBqpm0H9XzboSTqVaiJzgzjSF/wcrn/Zr9+IZtl+gpQZG&#10;QhoXJoEuYz1t6ev4pUwZ2YnCw5k21SKTdDkejG5uySLJNCaRZELJLo+dD/hVQc2ikHNPXUlkif0q&#10;YOd6comxAhhdLLUxSYmToBbGs72gHhpMKRL4b17GsibndzejfgK2EJ93yMZSLpeSooTtpmW6yPnw&#10;VO4GigOx4KEbkODkUlOuKxHwRXiaCCqPphyf6SgNUCw4SpxV4H/+7T76U6PIyllDE5bz8GMnvOLM&#10;fLPUwvtBZIphUm5Hn4ek+GvL5tpid/UCiIAB7ZOTSYz+aE5i6aF+o2WYx6hkElZS7JzjSVxgN/e0&#10;TFLN58mJhtAJXNm1kxE6Eh478dq+Ce+O7ULq8xOcZlFM3nWt840vLcx3CKVOLY08d6we6acBTkNx&#10;XLa4Idd68rr8Ema/AAAA//8DAFBLAwQUAAYACAAAACEASYb81uAAAAAJAQAADwAAAGRycy9kb3du&#10;cmV2LnhtbEyPzU7DMBCE70i8g7VIXFDrNIG2CnEqhPiReqOhRdzceEki4nUUu0l4e7YnuO3OjGa/&#10;zTaTbcWAvW8cKVjMIxBIpTMNVQrei+fZGoQPmoxuHaGCH/SwyS8vMp0aN9IbDrtQCS4hn2oFdQhd&#10;KqUva7Taz12HxN6X660OvPaVNL0eudy2Mo6ipbS6Ib5Q6w4fayy/dyer4POm+tj66WU/JndJ9/Q6&#10;FKuDKZS6vpoe7kEEnMJfGM74jA45Mx3diYwXrYLZKuYk68kSxNmPFywcebhdRyDzTP7/IP8FAAD/&#10;/wMAUEsBAi0AFAAGAAgAAAAhALaDOJL+AAAA4QEAABMAAAAAAAAAAAAAAAAAAAAAAFtDb250ZW50&#10;X1R5cGVzXS54bWxQSwECLQAUAAYACAAAACEAOP0h/9YAAACUAQAACwAAAAAAAAAAAAAAAAAvAQAA&#10;X3JlbHMvLnJlbHNQSwECLQAUAAYACAAAACEAJhgG/y0CAABaBAAADgAAAAAAAAAAAAAAAAAuAgAA&#10;ZHJzL2Uyb0RvYy54bWxQSwECLQAUAAYACAAAACEASYb81uAAAAAJAQAADwAAAAAAAAAAAAAAAACH&#10;BAAAZHJzL2Rvd25yZXYueG1sUEsFBgAAAAAEAAQA8wAAAJQFAAAAAA==&#10;" fillcolor="white [3201]" stroked="f" strokeweight=".5pt">
                      <v:textbox>
                        <w:txbxContent>
                          <w:p w14:paraId="1C93B02E" w14:textId="77777777" w:rsidR="007D6FB2" w:rsidRDefault="007D6FB2" w:rsidP="007D6FB2">
                            <w:pPr>
                              <w:spacing w:after="0" w:line="360" w:lineRule="auto"/>
                            </w:pPr>
                            <w:r>
                              <w:t xml:space="preserve">Lagged </w:t>
                            </w:r>
                            <w:proofErr w:type="gramStart"/>
                            <w:r>
                              <w:t>effects</w:t>
                            </w:r>
                            <w:proofErr w:type="gramEnd"/>
                          </w:p>
                        </w:txbxContent>
                      </v:textbox>
                    </v:shape>
                  </w:pict>
                </mc:Fallback>
              </mc:AlternateContent>
            </w:r>
          </w:p>
          <w:p w14:paraId="01F05ED4" w14:textId="77777777" w:rsidR="007D6FB2" w:rsidRDefault="007D6FB2" w:rsidP="00AB7F64">
            <w:pPr>
              <w:spacing w:before="120" w:after="120"/>
            </w:pPr>
          </w:p>
          <w:p w14:paraId="7D72944C" w14:textId="77777777" w:rsidR="007D6FB2" w:rsidRDefault="007D6FB2" w:rsidP="00AB7F64">
            <w:pPr>
              <w:spacing w:before="120" w:after="120"/>
            </w:pPr>
          </w:p>
          <w:p w14:paraId="2FB02B0A" w14:textId="77777777" w:rsidR="007D6FB2" w:rsidRPr="00900D8F" w:rsidRDefault="007D6FB2" w:rsidP="00AB7F64">
            <w:pPr>
              <w:spacing w:before="120" w:after="120"/>
            </w:pPr>
          </w:p>
        </w:tc>
        <w:tc>
          <w:tcPr>
            <w:tcW w:w="4389" w:type="dxa"/>
          </w:tcPr>
          <w:p w14:paraId="146FD9C1" w14:textId="77777777" w:rsidR="007D6FB2" w:rsidRPr="00227559" w:rsidRDefault="007D6FB2" w:rsidP="00AB7F64">
            <w:pPr>
              <w:spacing w:before="120"/>
              <w:rPr>
                <w:sz w:val="20"/>
                <w:szCs w:val="20"/>
              </w:rPr>
            </w:pPr>
            <w:r w:rsidRPr="000560CA">
              <w:t>Scenario 7</w:t>
            </w:r>
            <w:r>
              <w:rPr>
                <w:sz w:val="18"/>
                <w:szCs w:val="18"/>
              </w:rPr>
              <w:t xml:space="preserve"> – </w:t>
            </w:r>
            <w:r w:rsidRPr="00EA715B">
              <w:rPr>
                <w:sz w:val="20"/>
                <w:szCs w:val="20"/>
              </w:rPr>
              <w:t>Shared w</w:t>
            </w:r>
            <w:r w:rsidRPr="00227559">
              <w:rPr>
                <w:sz w:val="20"/>
                <w:szCs w:val="20"/>
              </w:rPr>
              <w:t xml:space="preserve">aning effects. </w:t>
            </w:r>
          </w:p>
          <w:p w14:paraId="220180A8" w14:textId="77777777" w:rsidR="007D6FB2" w:rsidRPr="00227559" w:rsidRDefault="007D6FB2" w:rsidP="00AB7F64">
            <w:pPr>
              <w:spacing w:before="120" w:after="120"/>
              <w:rPr>
                <w:i/>
                <w:iCs/>
                <w:sz w:val="20"/>
                <w:szCs w:val="20"/>
              </w:rPr>
            </w:pPr>
            <w:r w:rsidRPr="00227559">
              <w:rPr>
                <w:i/>
                <w:iCs/>
                <w:sz w:val="20"/>
                <w:szCs w:val="20"/>
              </w:rPr>
              <w:t>See supplemental Figure S7</w:t>
            </w:r>
          </w:p>
          <w:p w14:paraId="2EB161B5" w14:textId="77777777" w:rsidR="007D6FB2" w:rsidRPr="00DB7F42" w:rsidRDefault="007D6FB2" w:rsidP="00AB7F64">
            <w:pPr>
              <w:spacing w:after="120"/>
              <w:rPr>
                <w:sz w:val="18"/>
                <w:szCs w:val="18"/>
              </w:rPr>
            </w:pPr>
            <w:r w:rsidRPr="00227559">
              <w:rPr>
                <w:sz w:val="20"/>
                <w:szCs w:val="20"/>
              </w:rPr>
              <w:t xml:space="preserve">Example: A researcher wants to examine if </w:t>
            </w:r>
            <w:r>
              <w:rPr>
                <w:sz w:val="20"/>
                <w:szCs w:val="20"/>
              </w:rPr>
              <w:t>self-efficacy</w:t>
            </w:r>
            <w:r w:rsidRPr="00227559">
              <w:rPr>
                <w:sz w:val="20"/>
                <w:szCs w:val="20"/>
              </w:rPr>
              <w:t xml:space="preserve"> predicts increase in athletic performance among young people recently enrolled in an elite football team. They assume the following: A) In this highly selected group of athletes, there are only negligible individual differences in their underlying liability/potential for performance. Stability in performance is entirely due to lagged effects from one time point to the next</w:t>
            </w:r>
            <w:r>
              <w:rPr>
                <w:sz w:val="20"/>
                <w:szCs w:val="20"/>
              </w:rPr>
              <w:t xml:space="preserve"> (e</w:t>
            </w:r>
            <w:r w:rsidRPr="00227559">
              <w:rPr>
                <w:sz w:val="20"/>
                <w:szCs w:val="20"/>
              </w:rPr>
              <w:t>.g., high performance at one time point leads to extra attention from the coach and to being allowed to play important matches for the team, thus maintaining the high performance</w:t>
            </w:r>
            <w:r>
              <w:rPr>
                <w:sz w:val="20"/>
                <w:szCs w:val="20"/>
              </w:rPr>
              <w:t>)</w:t>
            </w:r>
            <w:r w:rsidRPr="00227559">
              <w:rPr>
                <w:sz w:val="20"/>
                <w:szCs w:val="20"/>
              </w:rPr>
              <w:t xml:space="preserve">. B) Baseline measures of </w:t>
            </w:r>
            <w:r>
              <w:rPr>
                <w:sz w:val="20"/>
                <w:szCs w:val="20"/>
              </w:rPr>
              <w:t>self-efficacy (predictor)</w:t>
            </w:r>
            <w:r w:rsidRPr="00227559">
              <w:rPr>
                <w:sz w:val="20"/>
                <w:szCs w:val="20"/>
              </w:rPr>
              <w:t xml:space="preserve"> and athletic</w:t>
            </w:r>
            <w:r>
              <w:rPr>
                <w:sz w:val="18"/>
                <w:szCs w:val="18"/>
              </w:rPr>
              <w:t xml:space="preserve"> </w:t>
            </w:r>
            <w:r w:rsidRPr="00227559">
              <w:rPr>
                <w:sz w:val="20"/>
                <w:szCs w:val="20"/>
              </w:rPr>
              <w:t xml:space="preserve">performance </w:t>
            </w:r>
            <w:r>
              <w:rPr>
                <w:sz w:val="20"/>
                <w:szCs w:val="20"/>
              </w:rPr>
              <w:t xml:space="preserve">(outcome) </w:t>
            </w:r>
            <w:r w:rsidRPr="00227559">
              <w:rPr>
                <w:sz w:val="20"/>
                <w:szCs w:val="20"/>
              </w:rPr>
              <w:t xml:space="preserve">share some causes with temporary effects (e.g., recent stressful events that </w:t>
            </w:r>
            <w:r>
              <w:rPr>
                <w:sz w:val="20"/>
                <w:szCs w:val="20"/>
              </w:rPr>
              <w:t>de</w:t>
            </w:r>
            <w:r w:rsidRPr="00227559">
              <w:rPr>
                <w:sz w:val="20"/>
                <w:szCs w:val="20"/>
              </w:rPr>
              <w:t xml:space="preserve">crease </w:t>
            </w:r>
            <w:r>
              <w:rPr>
                <w:sz w:val="20"/>
                <w:szCs w:val="20"/>
              </w:rPr>
              <w:t>self-efficacy</w:t>
            </w:r>
            <w:r w:rsidRPr="00227559">
              <w:rPr>
                <w:sz w:val="20"/>
                <w:szCs w:val="20"/>
              </w:rPr>
              <w:t xml:space="preserve"> and disturbs athletic performance). This effect on athletic performance </w:t>
            </w:r>
            <w:r>
              <w:rPr>
                <w:sz w:val="20"/>
                <w:szCs w:val="20"/>
              </w:rPr>
              <w:t xml:space="preserve">is carried forward, but </w:t>
            </w:r>
            <w:r w:rsidRPr="00227559">
              <w:rPr>
                <w:sz w:val="20"/>
                <w:szCs w:val="20"/>
              </w:rPr>
              <w:t>wanes gradually.</w:t>
            </w:r>
            <w:r>
              <w:rPr>
                <w:sz w:val="18"/>
                <w:szCs w:val="18"/>
              </w:rPr>
              <w:t xml:space="preserve"> </w:t>
            </w:r>
          </w:p>
        </w:tc>
        <w:tc>
          <w:tcPr>
            <w:tcW w:w="3685" w:type="dxa"/>
          </w:tcPr>
          <w:p w14:paraId="65FE2AD4" w14:textId="77777777" w:rsidR="007D6FB2" w:rsidRDefault="007D6FB2" w:rsidP="00AB7F64">
            <w:pPr>
              <w:spacing w:before="120" w:after="120"/>
              <w:jc w:val="center"/>
            </w:pPr>
          </w:p>
        </w:tc>
        <w:tc>
          <w:tcPr>
            <w:tcW w:w="3549" w:type="dxa"/>
          </w:tcPr>
          <w:p w14:paraId="62BDEB31" w14:textId="77777777" w:rsidR="007D6FB2" w:rsidRDefault="007D6FB2" w:rsidP="00AB7F64">
            <w:pPr>
              <w:spacing w:before="120" w:after="120"/>
              <w:jc w:val="center"/>
            </w:pPr>
          </w:p>
        </w:tc>
      </w:tr>
    </w:tbl>
    <w:p w14:paraId="0845DCBD" w14:textId="77777777" w:rsidR="007D6FB2" w:rsidRDefault="007D6FB2" w:rsidP="007D6FB2">
      <w:pPr>
        <w:spacing w:line="480" w:lineRule="auto"/>
      </w:pPr>
      <w:r>
        <w:t xml:space="preserve">Notes: Figures S1 to S7 are Supplemental Figures illustrating the assumed true data in the scenarios. </w:t>
      </w:r>
    </w:p>
    <w:p w14:paraId="1D596CCF" w14:textId="77777777" w:rsidR="000749EF" w:rsidRDefault="000749EF"/>
    <w:sectPr w:rsidR="000749EF" w:rsidSect="007D6FB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B2"/>
    <w:rsid w:val="000749EF"/>
    <w:rsid w:val="007D6FB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70646"/>
  <w15:chartTrackingRefBased/>
  <w15:docId w15:val="{16CFCACF-2156-4709-9A6C-60D3136C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FB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6F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5678</Characters>
  <Application>Microsoft Office Word</Application>
  <DocSecurity>0</DocSecurity>
  <Lines>47</Lines>
  <Paragraphs>13</Paragraphs>
  <ScaleCrop>false</ScaleCrop>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Gustavson</dc:creator>
  <cp:keywords/>
  <dc:description/>
  <cp:lastModifiedBy>Kristin Gustavson</cp:lastModifiedBy>
  <cp:revision>1</cp:revision>
  <dcterms:created xsi:type="dcterms:W3CDTF">2025-01-16T10:20:00Z</dcterms:created>
  <dcterms:modified xsi:type="dcterms:W3CDTF">2025-01-16T10:20:00Z</dcterms:modified>
</cp:coreProperties>
</file>