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0E65B" w14:textId="6EF7144B" w:rsidR="00EC6EDD" w:rsidRDefault="0020235D">
      <w:r>
        <w:t>iEEG document text</w:t>
      </w:r>
    </w:p>
    <w:p w14:paraId="17D26727" w14:textId="022A670B" w:rsidR="0020235D" w:rsidRDefault="0020235D">
      <w:bookmarkStart w:id="0" w:name="_Hlk45021967"/>
      <w:r>
        <w:t xml:space="preserve">iEEG is an invasive technique usually performed in a clinical context while undergoing procedures such as brain surgery. </w:t>
      </w:r>
    </w:p>
    <w:p w14:paraId="7BF1E8F8" w14:textId="4824BAB5" w:rsidR="00ED55CE" w:rsidRDefault="0020235D">
      <w:r>
        <w:t xml:space="preserve">iEEG allows for the direct recording of electrical activity at the individual cell or </w:t>
      </w:r>
      <w:r w:rsidR="00A67C6D">
        <w:t>cellular cluster</w:t>
      </w:r>
      <w:r>
        <w:t xml:space="preserve">-level. Other modalities like PET and fMRI rely upon signals from the biproducts of neural activity such as the BOLD signal in fMRI. </w:t>
      </w:r>
      <w:r w:rsidR="003A1366">
        <w:t xml:space="preserve">Another advantage to iEEG is its extremely high spatial and temporal resolution, as well as its high signal to noise ratio (Mukamel &amp; Fried, 2012). </w:t>
      </w:r>
      <w:r w:rsidR="00A67C6D">
        <w:t>iEEG can provide data about neuronal activity on the millimeter scale in terms of localization and can measure temporal dymanics at the millisecond scale (Parvizi &amp; Kastner, 2018).</w:t>
      </w:r>
      <w:r w:rsidR="00ED55CE">
        <w:t xml:space="preserve"> It can also help us understand the nature of functional activity between different networks or regions of the brain</w:t>
      </w:r>
      <w:r w:rsidR="002D69A6">
        <w:t xml:space="preserve"> and can determine causality through neural electrical stimulation</w:t>
      </w:r>
      <w:r w:rsidR="00ED55CE">
        <w:t xml:space="preserve"> (ibid). </w:t>
      </w:r>
      <w:r w:rsidR="00A67C6D">
        <w:t xml:space="preserve"> </w:t>
      </w:r>
      <w:r w:rsidR="003D3AB3">
        <w:t xml:space="preserve">iEEG is also not prone to artifacts from movement in the same way as regular EEG (ibid). </w:t>
      </w:r>
    </w:p>
    <w:p w14:paraId="2FBFB8B6" w14:textId="7935BB56" w:rsidR="0020235D" w:rsidRDefault="00FC2601">
      <w:bookmarkStart w:id="1" w:name="_Hlk45023461"/>
      <w:bookmarkEnd w:id="0"/>
      <w:r>
        <w:t>H</w:t>
      </w:r>
      <w:r>
        <w:t>owever</w:t>
      </w:r>
      <w:r>
        <w:t>, s</w:t>
      </w:r>
      <w:r w:rsidR="003D3AB3">
        <w:t>ome limitations must be considered</w:t>
      </w:r>
      <w:r>
        <w:t xml:space="preserve"> when developing a study around his modality</w:t>
      </w:r>
      <w:r w:rsidR="003D3AB3">
        <w:t xml:space="preserve">. Because of the nature of </w:t>
      </w:r>
      <w:r>
        <w:t>iEEG</w:t>
      </w:r>
      <w:r w:rsidR="003D3AB3">
        <w:t>, only patient groups with serious pathology</w:t>
      </w:r>
      <w:r>
        <w:t xml:space="preserve"> (usually epilepsy)</w:t>
      </w:r>
      <w:r w:rsidR="003D3AB3">
        <w:t xml:space="preserve"> can be sampled, which may limit generalizability of the findings.</w:t>
      </w:r>
      <w:r w:rsidR="004F56CB">
        <w:t xml:space="preserve"> It is also not possible to cover the entire brain, and study time is </w:t>
      </w:r>
      <w:r w:rsidR="00A67C6D">
        <w:t xml:space="preserve">often </w:t>
      </w:r>
      <w:r w:rsidR="004F56CB">
        <w:t>limited</w:t>
      </w:r>
      <w:r w:rsidR="00A67C6D">
        <w:t xml:space="preserve"> to a period in which the participant is admitted to a hospital for observation, often prior to surgery</w:t>
      </w:r>
      <w:r w:rsidR="005619D3">
        <w:t xml:space="preserve"> (ibi</w:t>
      </w:r>
      <w:r w:rsidR="00A67C6D">
        <w:t>d; Parvizi &amp; Kastner, 2018</w:t>
      </w:r>
      <w:r w:rsidR="005619D3">
        <w:t>)</w:t>
      </w:r>
      <w:r w:rsidR="004F56CB">
        <w:t>.</w:t>
      </w:r>
      <w:r w:rsidR="00A67C6D">
        <w:t xml:space="preserve"> </w:t>
      </w:r>
      <w:r w:rsidR="00ED55CE">
        <w:t xml:space="preserve">Additionally, the type of electrode used relates to clinical necessity and not to the aims of a research project. Because these studies are mostly carried out on patients with epilepsy, the regions studied frequently mirror the focal areas that tend to be common among such patients: the </w:t>
      </w:r>
      <w:r w:rsidR="002D69A6">
        <w:t>temporal</w:t>
      </w:r>
      <w:r w:rsidR="00ED55CE">
        <w:t xml:space="preserve"> and frontal lobes. Studies on the </w:t>
      </w:r>
      <w:r w:rsidR="002D69A6">
        <w:t>subcortical regions are rare as a result.  Because studies take place in a hospital, the ability to carry out elaborate research paradigms is limited as well. Lastly, access to this modality is rare and requires the involvement of clinicians trained in iEEG (Parvizi &amp; Kastner, 2018).</w:t>
      </w:r>
    </w:p>
    <w:bookmarkEnd w:id="1"/>
    <w:p w14:paraId="5E4B17DE" w14:textId="01DF919E" w:rsidR="004F56CB" w:rsidRDefault="004F56CB"/>
    <w:p w14:paraId="2CB4B6B0" w14:textId="774C54AE" w:rsidR="004F56CB" w:rsidRDefault="004F56CB">
      <w:r>
        <w:t>Can record local field potentials (LFPs), which are groups of cells firing, or at the individual cell level via action potentials (Mukamel &amp; Fried, 2012)</w:t>
      </w:r>
    </w:p>
    <w:p w14:paraId="46598415" w14:textId="5DEC67EB" w:rsidR="00A67C6D" w:rsidRDefault="00A67C6D">
      <w:bookmarkStart w:id="2" w:name="_Hlk45023615"/>
      <w:r>
        <w:t>Two forms of iEEG exist, with the defining feature of each being the type of electrode and its placement. The measurement of electrical activity in the brain using subdural grid electrodes is called electrocorticography (ECoG). Studies using depth electrodes in data collection are referred to as stereotactic EEG (sEEG) (Parvisi &amp; Kastner, 2018).</w:t>
      </w:r>
    </w:p>
    <w:p w14:paraId="2493861B" w14:textId="79F49578" w:rsidR="005619D3" w:rsidRDefault="005619D3">
      <w:r>
        <w:t>Types of electrodes used:</w:t>
      </w:r>
    </w:p>
    <w:p w14:paraId="37170AF7" w14:textId="7598FB74" w:rsidR="005619D3" w:rsidRDefault="005619D3" w:rsidP="005C72BD">
      <w:pPr>
        <w:pStyle w:val="ListParagraph"/>
        <w:numPr>
          <w:ilvl w:val="0"/>
          <w:numId w:val="1"/>
        </w:numPr>
      </w:pPr>
      <w:r>
        <w:t xml:space="preserve">Subdural strips or grids of electrodes (typically platinum-iridium or steel) implanted just under the dura. This type allows for longer study time, as the electrodes usually remain implanted for a </w:t>
      </w:r>
      <w:r w:rsidR="00A67C6D">
        <w:t xml:space="preserve">longer </w:t>
      </w:r>
      <w:r>
        <w:t>period</w:t>
      </w:r>
      <w:r w:rsidR="00530D82">
        <w:t xml:space="preserve"> (Mukamel &amp; Fried, 2012)</w:t>
      </w:r>
      <w:r>
        <w:t xml:space="preserve">. </w:t>
      </w:r>
      <w:r w:rsidR="00A67C6D">
        <w:t>These ECoG electrodes</w:t>
      </w:r>
      <w:r w:rsidR="00530D82">
        <w:t xml:space="preserve"> are shaped like circular plates and have a diameter of 1.2-3mm (Parvizi &amp; Kastner, 2018).</w:t>
      </w:r>
    </w:p>
    <w:p w14:paraId="19207BA3" w14:textId="3BA34ED0" w:rsidR="005619D3" w:rsidRDefault="005619D3" w:rsidP="005C72BD">
      <w:pPr>
        <w:pStyle w:val="ListParagraph"/>
        <w:numPr>
          <w:ilvl w:val="0"/>
          <w:numId w:val="1"/>
        </w:numPr>
      </w:pPr>
      <w:r>
        <w:t xml:space="preserve">Depth electrodes </w:t>
      </w:r>
      <w:r w:rsidR="00FD6FE9">
        <w:t>can</w:t>
      </w:r>
      <w:r>
        <w:t xml:space="preserve"> record electrical activity from deeper brain structures. These electrodes, which record </w:t>
      </w:r>
      <w:r w:rsidR="005C72BD">
        <w:t>activity from neurons</w:t>
      </w:r>
      <w:r>
        <w:t xml:space="preserve"> in proximity to the electrode, are inserted into the brain parenchyma. Microwires may also be used from the tip/sides of the electrodes to cover more area in terms of recording</w:t>
      </w:r>
      <w:r w:rsidR="00530D82">
        <w:t xml:space="preserve"> (Mukamel &amp; Fried, 2012)</w:t>
      </w:r>
      <w:r>
        <w:t>.</w:t>
      </w:r>
      <w:r w:rsidR="00530D82">
        <w:t xml:space="preserve"> Depth electrodes are cylindrically shaped, with a diameter of .86-1.1 mm and a height of 2.29 or 2.44 mm (Parvizi &amp; Kastner, 2018).</w:t>
      </w:r>
    </w:p>
    <w:p w14:paraId="3F97B17A" w14:textId="71D7BC41" w:rsidR="005619D3" w:rsidRDefault="005619D3" w:rsidP="005C72BD">
      <w:pPr>
        <w:pStyle w:val="ListParagraph"/>
        <w:numPr>
          <w:ilvl w:val="0"/>
          <w:numId w:val="1"/>
        </w:numPr>
      </w:pPr>
      <w:r>
        <w:lastRenderedPageBreak/>
        <w:t xml:space="preserve">Hybrid depth electrodes (HDE) </w:t>
      </w:r>
      <w:r w:rsidR="005C72BD">
        <w:t>are another type of depth electrode to record action potentials from specific cells or those adjacent to the electrode.</w:t>
      </w:r>
    </w:p>
    <w:p w14:paraId="45DA46EB" w14:textId="7A2E676B" w:rsidR="005C72BD" w:rsidRDefault="005C72BD" w:rsidP="005C72BD">
      <w:pPr>
        <w:pStyle w:val="ListParagraph"/>
        <w:numPr>
          <w:ilvl w:val="0"/>
          <w:numId w:val="1"/>
        </w:numPr>
      </w:pPr>
      <w:r>
        <w:t xml:space="preserve">Intracortical electrodes are inserted into the cortex and are able to record both action potentials from specific cells and LFP from regions of the brain. </w:t>
      </w:r>
    </w:p>
    <w:p w14:paraId="4CDDC199" w14:textId="2F2030A8" w:rsidR="005C72BD" w:rsidRDefault="005C72BD" w:rsidP="005C72BD">
      <w:pPr>
        <w:pStyle w:val="ListParagraph"/>
        <w:numPr>
          <w:ilvl w:val="0"/>
          <w:numId w:val="1"/>
        </w:numPr>
      </w:pPr>
      <w:r>
        <w:t>Neurotropic electrodes.</w:t>
      </w:r>
    </w:p>
    <w:p w14:paraId="00F767BD" w14:textId="3290D062" w:rsidR="005C72BD" w:rsidRDefault="005C72BD" w:rsidP="005C72BD">
      <w:pPr>
        <w:pStyle w:val="ListParagraph"/>
        <w:numPr>
          <w:ilvl w:val="0"/>
          <w:numId w:val="1"/>
        </w:numPr>
      </w:pPr>
      <w:r>
        <w:t>Microdialysis probes can measure neurotransmitter levels and are implanted via depth electrodes, or with the subdural strips or grids</w:t>
      </w:r>
      <w:r w:rsidR="008B10F1">
        <w:t xml:space="preserve"> (Mukamel &amp; Fried, 2012)</w:t>
      </w:r>
    </w:p>
    <w:p w14:paraId="771B84BA" w14:textId="4A0D4261" w:rsidR="005C72BD" w:rsidRDefault="00FD6FE9">
      <w:bookmarkStart w:id="3" w:name="_Hlk45024850"/>
      <w:bookmarkEnd w:id="2"/>
      <w:r>
        <w:t>It is additionally possible to stimulate various regions of the brain with the use of some types of electrodes</w:t>
      </w:r>
      <w:r w:rsidR="00E74854">
        <w:t xml:space="preserve"> during awake brain surgery for functional brain mapping</w:t>
      </w:r>
      <w:r w:rsidR="008B10F1">
        <w:t xml:space="preserve"> (Penfield in Mukamel &amp; Fried, 2012).</w:t>
      </w:r>
      <w:r w:rsidR="004D7D6E">
        <w:t xml:space="preserve"> This is usually performed during surgery for epilepsy. Deep brain stimulation (DBS) is a permanent implantation of electrodes for chronic neurological conditions like Parkinsons disease. </w:t>
      </w:r>
      <w:r w:rsidR="00D9615F">
        <w:t xml:space="preserve">As these electrodes are implanted, </w:t>
      </w:r>
      <w:r w:rsidR="00E91F88">
        <w:t xml:space="preserve">functional studies may be conducted. In some instances, they may be used in iEEG recording for longer periods of time. </w:t>
      </w:r>
    </w:p>
    <w:p w14:paraId="3E9EC421" w14:textId="77777777" w:rsidR="00094586" w:rsidRDefault="002D69A6" w:rsidP="0064609E">
      <w:bookmarkStart w:id="4" w:name="_Hlk45026271"/>
      <w:bookmarkEnd w:id="3"/>
      <w:r>
        <w:t>When working with iEEG data, one must be aware of several challenges. Movement artifacts may result from the fact that the patient is hooked up to wires outside</w:t>
      </w:r>
      <w:r w:rsidR="00C73EC2">
        <w:t xml:space="preserve">. </w:t>
      </w:r>
      <w:bookmarkEnd w:id="4"/>
      <w:r>
        <w:t xml:space="preserve">Localization of the electrodes can also prove problematic. </w:t>
      </w:r>
    </w:p>
    <w:p w14:paraId="0038A2BE" w14:textId="35C293FA" w:rsidR="00C73EC2" w:rsidRDefault="002D69A6" w:rsidP="0064609E">
      <w:r>
        <w:t xml:space="preserve">If one takes structural images prior to surgery, there is a risk that the brain may have moved somewhat in position which may lead to the images no longer </w:t>
      </w:r>
      <w:r w:rsidR="00C73EC2">
        <w:t>registering properly (Parvizi &amp; Kastner, 2018)</w:t>
      </w:r>
      <w:r>
        <w:t xml:space="preserve">. </w:t>
      </w:r>
      <w:r w:rsidR="00C73EC2">
        <w:t xml:space="preserve">This can be due to swelling, the craniotomy itself or the number of electrodes (Dalal et al., 2008) Additionally, the electrodes themselves may create artifacts in the data that make localization after implantation difficult, and in MRI, some electrodes which are placed closely together may be difficult to see. A combination of pre-operative structural MRI scans together with photographs taken under implantation of the electrodes and post-operative </w:t>
      </w:r>
      <w:r w:rsidR="00712145" w:rsidRPr="00712145">
        <w:t>computed tomography</w:t>
      </w:r>
      <w:r w:rsidR="00712145">
        <w:t xml:space="preserve"> (</w:t>
      </w:r>
      <w:r w:rsidR="00C73EC2">
        <w:t>CT</w:t>
      </w:r>
      <w:r w:rsidR="00712145">
        <w:t>)</w:t>
      </w:r>
      <w:bookmarkStart w:id="5" w:name="_GoBack"/>
      <w:bookmarkEnd w:id="5"/>
      <w:r w:rsidR="00C73EC2">
        <w:t xml:space="preserve"> scans may present one way of addressing this problem (Dalal et al., 2008)</w:t>
      </w:r>
      <w:r>
        <w:t xml:space="preserve">. </w:t>
      </w:r>
    </w:p>
    <w:p w14:paraId="23EBCB5D" w14:textId="6278DB72" w:rsidR="00FC2601" w:rsidRDefault="00FC2601" w:rsidP="0064609E">
      <w:r>
        <w:t>File Types:</w:t>
      </w:r>
    </w:p>
    <w:p w14:paraId="51877FE7" w14:textId="58EFCE20" w:rsidR="00FC2601" w:rsidRDefault="00FC2601" w:rsidP="0064609E">
      <w:r>
        <w:t>In addition to structural MRI and CT scans, there are several iEEG file types, which vary depending on the system. There is no one single format for iEEG data at present, but iEEG BIDS lists two categories of formats accepted by the protocol: compliant formats and unofficially supported formats. Compliant formats include:</w:t>
      </w:r>
    </w:p>
    <w:p w14:paraId="7981B1EC" w14:textId="7844F8DA" w:rsidR="00FC2601" w:rsidRDefault="00FC2601" w:rsidP="0064609E">
      <w:r>
        <w:tab/>
        <w:t>The European Data Format (.edf)</w:t>
      </w:r>
    </w:p>
    <w:p w14:paraId="090BB384" w14:textId="27866B8F" w:rsidR="00FC2601" w:rsidRDefault="00FC2601" w:rsidP="0064609E">
      <w:pPr>
        <w:rPr>
          <w:lang w:val="fr-FR"/>
        </w:rPr>
      </w:pPr>
      <w:r>
        <w:tab/>
      </w:r>
      <w:r w:rsidRPr="00FC2601">
        <w:rPr>
          <w:lang w:val="fr-FR"/>
        </w:rPr>
        <w:t>Brain Vision Core Data Format</w:t>
      </w:r>
      <w:r>
        <w:rPr>
          <w:lang w:val="fr-FR"/>
        </w:rPr>
        <w:t xml:space="preserve"> (.vhdr, .vmrk, .eeg)</w:t>
      </w:r>
    </w:p>
    <w:p w14:paraId="6AD90D03" w14:textId="02C388F5" w:rsidR="00FC2601" w:rsidRDefault="00FC2601" w:rsidP="0064609E">
      <w:r w:rsidRPr="00FC2601">
        <w:t>The unofficially s</w:t>
      </w:r>
      <w:r>
        <w:t xml:space="preserve">upported formats include: </w:t>
      </w:r>
    </w:p>
    <w:p w14:paraId="2269BEA0" w14:textId="13EA534A" w:rsidR="00FC2601" w:rsidRDefault="00FC2601" w:rsidP="0064609E">
      <w:r>
        <w:tab/>
        <w:t>Neurodata Without Borders (.nwb)</w:t>
      </w:r>
    </w:p>
    <w:p w14:paraId="1F89EBD1" w14:textId="51E72D28" w:rsidR="00FC2601" w:rsidRDefault="00FC2601" w:rsidP="0064609E">
      <w:r>
        <w:tab/>
        <w:t>EEGLab (.set)</w:t>
      </w:r>
    </w:p>
    <w:p w14:paraId="2CBC3FFC" w14:textId="7A4B3F40" w:rsidR="00FC2601" w:rsidRDefault="00FC2601" w:rsidP="0064609E">
      <w:pPr>
        <w:rPr>
          <w:lang w:val="fr-FR"/>
        </w:rPr>
      </w:pPr>
      <w:r>
        <w:tab/>
      </w:r>
      <w:r w:rsidRPr="00FC2601">
        <w:rPr>
          <w:lang w:val="fr-FR"/>
        </w:rPr>
        <w:t>Multiscale Eletrophysiology Format Version 3 (</w:t>
      </w:r>
      <w:r>
        <w:rPr>
          <w:lang w:val="fr-FR"/>
        </w:rPr>
        <w:t>.mef3)</w:t>
      </w:r>
    </w:p>
    <w:p w14:paraId="2DFB93E9" w14:textId="192BED8C" w:rsidR="00F15C81" w:rsidRDefault="00FC2601" w:rsidP="0064609E">
      <w:r w:rsidRPr="00FC2601">
        <w:t>Unofficially supported f</w:t>
      </w:r>
      <w:r>
        <w:t>ormats will pass a bids validator, but may lose support or be upgraded as their use wanes or increases</w:t>
      </w:r>
      <w:r w:rsidR="00F15C81">
        <w:t xml:space="preserve"> (Holdgraf et al., 2019)</w:t>
      </w:r>
      <w:r>
        <w:t xml:space="preserve">. </w:t>
      </w:r>
    </w:p>
    <w:p w14:paraId="33C679EE" w14:textId="749DBBF8" w:rsidR="00FC2601" w:rsidRDefault="00FC2601" w:rsidP="0064609E">
      <w:bookmarkStart w:id="6" w:name="_Hlk45026633"/>
      <w:r>
        <w:lastRenderedPageBreak/>
        <w:t>Researchers at UiO thus far use two systems for data collection: Micromed</w:t>
      </w:r>
      <w:r w:rsidR="00A84D93">
        <w:t xml:space="preserve"> </w:t>
      </w:r>
      <w:r>
        <w:t xml:space="preserve">System (.trc) </w:t>
      </w:r>
      <w:r w:rsidR="00A84D93">
        <w:t xml:space="preserve">SEEG depth electrodes </w:t>
      </w:r>
      <w:r>
        <w:t>and the Neur</w:t>
      </w:r>
      <w:r w:rsidR="005B1069">
        <w:t>alynx</w:t>
      </w:r>
      <w:r>
        <w:t xml:space="preserve"> System</w:t>
      </w:r>
      <w:r w:rsidR="00A84D93">
        <w:t xml:space="preserve"> grid electrode</w:t>
      </w:r>
      <w:r>
        <w:t xml:space="preserve">. </w:t>
      </w:r>
      <w:bookmarkEnd w:id="6"/>
      <w:r>
        <w:t xml:space="preserve">You will note that neither of these two formats are BIDS compatible. With Micromeds, it is possible, however, to generate an .edf file. The reason why reasearchers would opt for the previous file formats instead is related to </w:t>
      </w:r>
      <w:r w:rsidR="005138B7">
        <w:t>problems that have been encountered with the recording of events.</w:t>
      </w:r>
    </w:p>
    <w:p w14:paraId="61A03757" w14:textId="561D76BA" w:rsidR="008813D6" w:rsidRDefault="008813D6" w:rsidP="0064609E">
      <w:r>
        <w:t>Neuralynx System file formats and their use:</w:t>
      </w:r>
    </w:p>
    <w:p w14:paraId="354D85B0" w14:textId="77777777" w:rsidR="008813D6" w:rsidRDefault="008813D6" w:rsidP="008813D6">
      <w:r>
        <w:t>.ncs single continuous channel file</w:t>
      </w:r>
    </w:p>
    <w:p w14:paraId="7A0E8F0B" w14:textId="77777777" w:rsidR="008813D6" w:rsidRDefault="008813D6" w:rsidP="008813D6">
      <w:r>
        <w:t>.nse single electrode waveform file</w:t>
      </w:r>
    </w:p>
    <w:p w14:paraId="1B929E99" w14:textId="77777777" w:rsidR="008813D6" w:rsidRDefault="008813D6" w:rsidP="008813D6">
      <w:r>
        <w:t>.nts single stereotrode file</w:t>
      </w:r>
    </w:p>
    <w:p w14:paraId="62DB01F6" w14:textId="77777777" w:rsidR="008813D6" w:rsidRDefault="008813D6" w:rsidP="008813D6">
      <w:r>
        <w:t>.nst spike timestamps</w:t>
      </w:r>
    </w:p>
    <w:p w14:paraId="06E724EB" w14:textId="77777777" w:rsidR="008813D6" w:rsidRDefault="008813D6" w:rsidP="008813D6">
      <w:r>
        <w:t>.ntt single tetrode file</w:t>
      </w:r>
    </w:p>
    <w:p w14:paraId="4360B010" w14:textId="18025078" w:rsidR="008813D6" w:rsidRDefault="008813D6" w:rsidP="008813D6">
      <w:r>
        <w:t>.nev event information</w:t>
      </w:r>
    </w:p>
    <w:p w14:paraId="2BD5CFC8" w14:textId="15A2ED3E" w:rsidR="00B567C9" w:rsidRDefault="00B567C9" w:rsidP="008813D6">
      <w:r>
        <w:t xml:space="preserve">.nrd raw data file with all channels sampled at 32kHx/multiplexed.  </w:t>
      </w:r>
    </w:p>
    <w:p w14:paraId="26742935" w14:textId="2BA67943" w:rsidR="00B567C9" w:rsidRDefault="00B567C9" w:rsidP="008813D6">
      <w:r>
        <w:t>Standard format writes a single file for each channel in the dataset directory. All of the files for these channels can be read at the same time.</w:t>
      </w:r>
    </w:p>
    <w:p w14:paraId="3448D29B" w14:textId="21918E4A" w:rsidR="0058363A" w:rsidRDefault="00F553E2" w:rsidP="008813D6">
      <w:hyperlink r:id="rId5" w:history="1">
        <w:r w:rsidRPr="00840DC6">
          <w:rPr>
            <w:rStyle w:val="Hyperlink"/>
          </w:rPr>
          <w:t>http://www.fieldtriptoolbox.org/getting_started/neuralynx/</w:t>
        </w:r>
      </w:hyperlink>
    </w:p>
    <w:p w14:paraId="680C75C9" w14:textId="42CC7973" w:rsidR="00CA1CAF" w:rsidRPr="00FA0577" w:rsidRDefault="00FA0577" w:rsidP="008813D6">
      <w:hyperlink r:id="rId6" w:history="1">
        <w:r w:rsidRPr="00FA0577">
          <w:rPr>
            <w:rStyle w:val="Hyperlink"/>
          </w:rPr>
          <w:t>https://www.ieeg.org/</w:t>
        </w:r>
      </w:hyperlink>
      <w:r w:rsidRPr="00FA0577">
        <w:t xml:space="preserve">  - Links to da</w:t>
      </w:r>
      <w:r>
        <w:t>tasets and tools for iEEG analysis.</w:t>
      </w:r>
    </w:p>
    <w:p w14:paraId="514DC4D2" w14:textId="6879D0C4" w:rsidR="00F553E2" w:rsidRDefault="00F553E2" w:rsidP="008813D6">
      <w:r>
        <w:t xml:space="preserve">Neuralyx files can be converted to .edf format using the EDF Plus File Convertor: </w:t>
      </w:r>
      <w:hyperlink r:id="rId7" w:history="1">
        <w:r w:rsidR="00A50E92" w:rsidRPr="00840DC6">
          <w:rPr>
            <w:rStyle w:val="Hyperlink"/>
          </w:rPr>
          <w:t>https://neuralynx.com/software/category/file-converters-utilities</w:t>
        </w:r>
      </w:hyperlink>
    </w:p>
    <w:p w14:paraId="4C8803E9" w14:textId="7D118416" w:rsidR="00A50E92" w:rsidRDefault="00A50E92" w:rsidP="008813D6">
      <w:r>
        <w:t>Micromed Group homepage:</w:t>
      </w:r>
    </w:p>
    <w:p w14:paraId="04787563" w14:textId="4068F008" w:rsidR="00A50E92" w:rsidRDefault="00A50E92" w:rsidP="008813D6">
      <w:hyperlink r:id="rId8" w:history="1">
        <w:r w:rsidRPr="00840DC6">
          <w:rPr>
            <w:rStyle w:val="Hyperlink"/>
          </w:rPr>
          <w:t>https://micromedgroup.com/</w:t>
        </w:r>
      </w:hyperlink>
    </w:p>
    <w:p w14:paraId="70B4C24B" w14:textId="77777777" w:rsidR="00A50E92" w:rsidRDefault="00A50E92" w:rsidP="008813D6"/>
    <w:p w14:paraId="762E9B32" w14:textId="320E2A0E" w:rsidR="00573E15" w:rsidRPr="00573E15" w:rsidRDefault="00573E15" w:rsidP="0064609E">
      <w:r w:rsidRPr="00573E15">
        <w:t>BIDS for iEEG also r</w:t>
      </w:r>
      <w:r>
        <w:t>equires metadata files which capture the location of electrodes as a _electrodes.tsv file, as well as a description of their coordinate system in a _coordsystem.json file. These files should accompany the neuroimaging files in nii.gz (compressed NIfTI) format, as cortical surfaces or 2-D images (Holdgraf et al., 2019).</w:t>
      </w:r>
    </w:p>
    <w:p w14:paraId="41518ED6" w14:textId="7B4A3C0A" w:rsidR="00FC2601" w:rsidRPr="00573E15" w:rsidRDefault="00FC2601" w:rsidP="0064609E">
      <w:pPr>
        <w:rPr>
          <w:b/>
          <w:bCs/>
        </w:rPr>
      </w:pPr>
      <w:r w:rsidRPr="00573E15">
        <w:rPr>
          <w:b/>
          <w:bCs/>
        </w:rPr>
        <w:t>Data Transfer</w:t>
      </w:r>
    </w:p>
    <w:p w14:paraId="69EE4D7B" w14:textId="7D4114B7" w:rsidR="005138B7" w:rsidRDefault="005138B7" w:rsidP="0064609E">
      <w:r>
        <w:t xml:space="preserve">Data transfer occurs using password-protected encrypted hard drives. Both the neuroimaging files and the iEEG data files constitute sensitive information. The neuroimaging files are sensitive in that they capture a participant’s facial features, whereas the iEEG files must be anonymized </w:t>
      </w:r>
      <w:r w:rsidR="00451BAB">
        <w:t>using an automated process in MATLAB. The files</w:t>
      </w:r>
      <w:r>
        <w:t xml:space="preserve"> contain the participants’ identifying information up until the point at which anonymization is carried out. The files must be given to the data manager. The neuroimages will be defaced and the iEEG data will be anonymized and placed in the Durable folder in Lagringshotellet. The original neuroimaging data will be preserved in TSD.</w:t>
      </w:r>
    </w:p>
    <w:p w14:paraId="243C9964" w14:textId="20693C3D" w:rsidR="002D69A6" w:rsidRDefault="002D69A6" w:rsidP="0064609E">
      <w:r>
        <w:lastRenderedPageBreak/>
        <w:t>Each step in the data processing pipeline also poses a risk of distorting the data (Parvizi &amp; Kastner, 2018).</w:t>
      </w:r>
    </w:p>
    <w:p w14:paraId="66E01C4A" w14:textId="53DC26D8" w:rsidR="002D69A6" w:rsidRDefault="002D69A6" w:rsidP="0064609E">
      <w:r>
        <w:t>Common steps in the processing of iEEG data are:</w:t>
      </w:r>
    </w:p>
    <w:p w14:paraId="3FCB05C9" w14:textId="4504B4F5" w:rsidR="002D69A6" w:rsidRDefault="002D69A6" w:rsidP="002D69A6">
      <w:pPr>
        <w:pStyle w:val="ListParagraph"/>
        <w:numPr>
          <w:ilvl w:val="0"/>
          <w:numId w:val="2"/>
        </w:numPr>
      </w:pPr>
      <w:r>
        <w:t>Concatenating data files, often across blocks or conditions spanning days.</w:t>
      </w:r>
    </w:p>
    <w:p w14:paraId="47E482AE" w14:textId="1D60BC1E" w:rsidR="002D69A6" w:rsidRDefault="002D69A6" w:rsidP="002D69A6">
      <w:pPr>
        <w:pStyle w:val="ListParagraph"/>
        <w:numPr>
          <w:ilvl w:val="0"/>
          <w:numId w:val="2"/>
        </w:numPr>
      </w:pPr>
      <w:r>
        <w:t>Down</w:t>
      </w:r>
      <w:r w:rsidR="00FC2601">
        <w:t xml:space="preserve"> </w:t>
      </w:r>
      <w:r>
        <w:t xml:space="preserve">sampling the data from 1,000-10,000 to 250-1,000 samples per second. </w:t>
      </w:r>
      <w:r w:rsidR="00E21F44">
        <w:t>Downsampling may change the temporal resolution.</w:t>
      </w:r>
    </w:p>
    <w:p w14:paraId="6FF05D8D" w14:textId="6E75E534" w:rsidR="00E21F44" w:rsidRDefault="00E21F44" w:rsidP="002D69A6">
      <w:pPr>
        <w:pStyle w:val="ListParagraph"/>
        <w:numPr>
          <w:ilvl w:val="0"/>
          <w:numId w:val="2"/>
        </w:numPr>
      </w:pPr>
      <w:r>
        <w:t xml:space="preserve">Identification and removal of artifacts, as well as </w:t>
      </w:r>
      <w:r w:rsidR="0065583C">
        <w:t>seizure</w:t>
      </w:r>
      <w:r>
        <w:t xml:space="preserve"> activity. </w:t>
      </w:r>
      <w:r w:rsidR="0065583C">
        <w:t xml:space="preserve">You may need to discard trials in which seizures occurred. </w:t>
      </w:r>
    </w:p>
    <w:p w14:paraId="37D5253E" w14:textId="66BAC0D1" w:rsidR="0065583C" w:rsidRDefault="0065583C" w:rsidP="002D69A6">
      <w:pPr>
        <w:pStyle w:val="ListParagraph"/>
        <w:numPr>
          <w:ilvl w:val="0"/>
          <w:numId w:val="2"/>
        </w:numPr>
      </w:pPr>
      <w:r>
        <w:t>Choosing a baseline for comparison, which is usually (but not always) the pre-stimulus phase.</w:t>
      </w:r>
    </w:p>
    <w:p w14:paraId="2583FEE0" w14:textId="6AE53F20" w:rsidR="0065583C" w:rsidRDefault="0065583C" w:rsidP="002D69A6">
      <w:pPr>
        <w:pStyle w:val="ListParagraph"/>
        <w:numPr>
          <w:ilvl w:val="0"/>
          <w:numId w:val="2"/>
        </w:numPr>
      </w:pPr>
      <w:r>
        <w:t>Multiple comparisons.</w:t>
      </w:r>
      <w:r w:rsidR="00DF1FE3">
        <w:t xml:space="preserve"> (Parvizi &amp; Kasthner, 2018). </w:t>
      </w:r>
    </w:p>
    <w:p w14:paraId="3084B519" w14:textId="77777777" w:rsidR="002D69A6" w:rsidRDefault="002D69A6" w:rsidP="0064609E"/>
    <w:sectPr w:rsidR="002D69A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D83940"/>
    <w:multiLevelType w:val="hybridMultilevel"/>
    <w:tmpl w:val="E24AA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BE5A62"/>
    <w:multiLevelType w:val="hybridMultilevel"/>
    <w:tmpl w:val="408CB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35D"/>
    <w:rsid w:val="00094586"/>
    <w:rsid w:val="0020235D"/>
    <w:rsid w:val="002D69A6"/>
    <w:rsid w:val="003A1366"/>
    <w:rsid w:val="003D3AB3"/>
    <w:rsid w:val="00451BAB"/>
    <w:rsid w:val="004D7D6E"/>
    <w:rsid w:val="004F56CB"/>
    <w:rsid w:val="005138B7"/>
    <w:rsid w:val="00530D82"/>
    <w:rsid w:val="005619D3"/>
    <w:rsid w:val="00573E15"/>
    <w:rsid w:val="0058363A"/>
    <w:rsid w:val="005B1069"/>
    <w:rsid w:val="005C72BD"/>
    <w:rsid w:val="0064609E"/>
    <w:rsid w:val="0065583C"/>
    <w:rsid w:val="00712145"/>
    <w:rsid w:val="00792883"/>
    <w:rsid w:val="008813D6"/>
    <w:rsid w:val="008B10F1"/>
    <w:rsid w:val="00A50E92"/>
    <w:rsid w:val="00A67C6D"/>
    <w:rsid w:val="00A84D93"/>
    <w:rsid w:val="00B567C9"/>
    <w:rsid w:val="00C73EC2"/>
    <w:rsid w:val="00CA1CAF"/>
    <w:rsid w:val="00D9615F"/>
    <w:rsid w:val="00DF1FE3"/>
    <w:rsid w:val="00E21F44"/>
    <w:rsid w:val="00E74854"/>
    <w:rsid w:val="00E91F88"/>
    <w:rsid w:val="00EC6EDD"/>
    <w:rsid w:val="00ED55CE"/>
    <w:rsid w:val="00F15C81"/>
    <w:rsid w:val="00F553E2"/>
    <w:rsid w:val="00FA0577"/>
    <w:rsid w:val="00FC2601"/>
    <w:rsid w:val="00FD6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EB55E"/>
  <w15:chartTrackingRefBased/>
  <w15:docId w15:val="{53F5B43F-31D7-4F5C-97F7-B218EBAB9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72BD"/>
    <w:pPr>
      <w:ind w:left="720"/>
      <w:contextualSpacing/>
    </w:pPr>
  </w:style>
  <w:style w:type="character" w:styleId="Hyperlink">
    <w:name w:val="Hyperlink"/>
    <w:basedOn w:val="DefaultParagraphFont"/>
    <w:uiPriority w:val="99"/>
    <w:unhideWhenUsed/>
    <w:rsid w:val="00F553E2"/>
    <w:rPr>
      <w:color w:val="0563C1" w:themeColor="hyperlink"/>
      <w:u w:val="single"/>
    </w:rPr>
  </w:style>
  <w:style w:type="character" w:styleId="UnresolvedMention">
    <w:name w:val="Unresolved Mention"/>
    <w:basedOn w:val="DefaultParagraphFont"/>
    <w:uiPriority w:val="99"/>
    <w:semiHidden/>
    <w:unhideWhenUsed/>
    <w:rsid w:val="00F553E2"/>
    <w:rPr>
      <w:color w:val="605E5C"/>
      <w:shd w:val="clear" w:color="auto" w:fill="E1DFDD"/>
    </w:rPr>
  </w:style>
  <w:style w:type="paragraph" w:styleId="BalloonText">
    <w:name w:val="Balloon Text"/>
    <w:basedOn w:val="Normal"/>
    <w:link w:val="BalloonTextChar"/>
    <w:uiPriority w:val="99"/>
    <w:semiHidden/>
    <w:unhideWhenUsed/>
    <w:rsid w:val="00094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5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cromedgroup.com/" TargetMode="External"/><Relationship Id="rId3" Type="http://schemas.openxmlformats.org/officeDocument/2006/relationships/settings" Target="settings.xml"/><Relationship Id="rId7" Type="http://schemas.openxmlformats.org/officeDocument/2006/relationships/hyperlink" Target="https://neuralynx.com/software/category/file-converters-utilit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eeg.org/" TargetMode="External"/><Relationship Id="rId5" Type="http://schemas.openxmlformats.org/officeDocument/2006/relationships/hyperlink" Target="http://www.fieldtriptoolbox.org/getting_started/neuralyn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732</TotalTime>
  <Pages>4</Pages>
  <Words>1380</Words>
  <Characters>7868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 Jentoft</dc:creator>
  <cp:keywords/>
  <dc:description/>
  <cp:lastModifiedBy>Elian Jentoft</cp:lastModifiedBy>
  <cp:revision>27</cp:revision>
  <dcterms:created xsi:type="dcterms:W3CDTF">2020-06-29T12:58:00Z</dcterms:created>
  <dcterms:modified xsi:type="dcterms:W3CDTF">2020-07-07T14:52:00Z</dcterms:modified>
</cp:coreProperties>
</file>