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DD3E3" w14:textId="77777777" w:rsidR="001138E2" w:rsidRPr="00CB78DD" w:rsidRDefault="001138E2" w:rsidP="001138E2">
      <w:pPr>
        <w:pStyle w:val="gp-tekst"/>
        <w:pBdr>
          <w:top w:val="single" w:sz="6" w:space="1" w:color="auto"/>
          <w:left w:val="single" w:sz="6" w:space="1" w:color="auto"/>
          <w:bottom w:val="single" w:sz="6" w:space="1" w:color="auto"/>
          <w:right w:val="single" w:sz="6" w:space="1" w:color="auto"/>
        </w:pBdr>
        <w:tabs>
          <w:tab w:val="left" w:pos="1560"/>
        </w:tabs>
        <w:spacing w:before="80"/>
        <w:rPr>
          <w:rFonts w:ascii="Times New Roman" w:hAnsi="Times New Roman"/>
          <w:sz w:val="22"/>
          <w:szCs w:val="22"/>
          <w:lang w:val="nb-NO"/>
        </w:rPr>
      </w:pPr>
      <w:bookmarkStart w:id="0" w:name="TITTEL"/>
      <w:r w:rsidRPr="00CB78DD">
        <w:rPr>
          <w:rFonts w:ascii="Times New Roman" w:hAnsi="Times New Roman"/>
          <w:sz w:val="22"/>
          <w:szCs w:val="22"/>
          <w:lang w:val="nb-NO"/>
        </w:rPr>
        <w:t xml:space="preserve">Til:  </w:t>
      </w:r>
      <w:r w:rsidRPr="00CB78DD">
        <w:rPr>
          <w:rFonts w:ascii="Times New Roman" w:hAnsi="Times New Roman"/>
          <w:sz w:val="22"/>
          <w:szCs w:val="22"/>
          <w:lang w:val="nb-NO"/>
        </w:rPr>
        <w:tab/>
        <w:t>Fakultetsstyret</w:t>
      </w:r>
    </w:p>
    <w:p w14:paraId="0BE6707A" w14:textId="77777777" w:rsidR="001138E2" w:rsidRPr="00CB78DD" w:rsidRDefault="001138E2" w:rsidP="001138E2">
      <w:pPr>
        <w:pStyle w:val="gp-tekst"/>
        <w:pBdr>
          <w:top w:val="single" w:sz="6" w:space="1" w:color="auto"/>
          <w:left w:val="single" w:sz="6" w:space="1" w:color="auto"/>
          <w:bottom w:val="single" w:sz="6" w:space="1" w:color="auto"/>
          <w:right w:val="single" w:sz="6" w:space="1" w:color="auto"/>
        </w:pBdr>
        <w:tabs>
          <w:tab w:val="left" w:pos="1560"/>
        </w:tabs>
        <w:spacing w:before="80"/>
        <w:rPr>
          <w:rFonts w:ascii="Times New Roman" w:hAnsi="Times New Roman"/>
          <w:sz w:val="22"/>
          <w:szCs w:val="22"/>
          <w:lang w:val="nb-NO"/>
        </w:rPr>
      </w:pPr>
      <w:r w:rsidRPr="00CB78DD">
        <w:rPr>
          <w:rFonts w:ascii="Times New Roman" w:hAnsi="Times New Roman"/>
          <w:sz w:val="22"/>
          <w:szCs w:val="22"/>
          <w:lang w:val="nb-NO"/>
        </w:rPr>
        <w:t xml:space="preserve">Fra: </w:t>
      </w:r>
      <w:r w:rsidRPr="00CB78DD">
        <w:rPr>
          <w:rFonts w:ascii="Times New Roman" w:hAnsi="Times New Roman"/>
          <w:sz w:val="22"/>
          <w:szCs w:val="22"/>
          <w:lang w:val="nb-NO"/>
        </w:rPr>
        <w:tab/>
      </w:r>
      <w:r w:rsidR="00937EBB" w:rsidRPr="00CB78DD">
        <w:rPr>
          <w:rFonts w:ascii="Times New Roman" w:hAnsi="Times New Roman"/>
          <w:sz w:val="22"/>
          <w:szCs w:val="22"/>
          <w:lang w:val="nb-NO"/>
        </w:rPr>
        <w:t>Dekan</w:t>
      </w:r>
      <w:r w:rsidR="00B0050D" w:rsidRPr="00CB78DD">
        <w:rPr>
          <w:rFonts w:ascii="Times New Roman" w:hAnsi="Times New Roman"/>
          <w:sz w:val="22"/>
          <w:szCs w:val="22"/>
          <w:lang w:val="nb-NO"/>
        </w:rPr>
        <w:t>en</w:t>
      </w:r>
    </w:p>
    <w:p w14:paraId="2275B6F6" w14:textId="77777777" w:rsidR="001138E2" w:rsidRPr="00CB78DD" w:rsidRDefault="001138E2" w:rsidP="001138E2">
      <w:pPr>
        <w:pStyle w:val="gp-tekst"/>
        <w:pBdr>
          <w:top w:val="single" w:sz="6" w:space="1" w:color="auto"/>
          <w:left w:val="single" w:sz="6" w:space="1" w:color="auto"/>
          <w:bottom w:val="single" w:sz="6" w:space="1" w:color="auto"/>
          <w:right w:val="single" w:sz="6" w:space="1" w:color="auto"/>
        </w:pBdr>
        <w:tabs>
          <w:tab w:val="left" w:pos="1560"/>
        </w:tabs>
        <w:spacing w:before="80"/>
        <w:rPr>
          <w:rFonts w:ascii="Times New Roman" w:hAnsi="Times New Roman"/>
          <w:sz w:val="22"/>
          <w:szCs w:val="22"/>
          <w:lang w:val="nb-NO"/>
        </w:rPr>
      </w:pPr>
      <w:r w:rsidRPr="00CB78DD">
        <w:rPr>
          <w:rFonts w:ascii="Times New Roman" w:hAnsi="Times New Roman"/>
          <w:sz w:val="22"/>
          <w:szCs w:val="22"/>
          <w:lang w:val="nb-NO"/>
        </w:rPr>
        <w:t xml:space="preserve">Sakstype: </w:t>
      </w:r>
      <w:r w:rsidRPr="00CB78DD">
        <w:rPr>
          <w:rFonts w:ascii="Times New Roman" w:hAnsi="Times New Roman"/>
          <w:sz w:val="22"/>
          <w:szCs w:val="22"/>
          <w:lang w:val="nb-NO"/>
        </w:rPr>
        <w:tab/>
      </w:r>
      <w:r w:rsidR="003F47F0" w:rsidRPr="00CB78DD">
        <w:rPr>
          <w:rFonts w:ascii="Times New Roman" w:hAnsi="Times New Roman"/>
          <w:sz w:val="22"/>
          <w:szCs w:val="22"/>
          <w:lang w:val="nb-NO"/>
        </w:rPr>
        <w:t>Diskusjon</w:t>
      </w:r>
      <w:r w:rsidR="002B2961" w:rsidRPr="00CB78DD">
        <w:rPr>
          <w:rFonts w:ascii="Times New Roman" w:hAnsi="Times New Roman"/>
          <w:sz w:val="22"/>
          <w:szCs w:val="22"/>
          <w:lang w:val="nb-NO"/>
        </w:rPr>
        <w:t>ssak</w:t>
      </w:r>
    </w:p>
    <w:p w14:paraId="18F8CF84" w14:textId="77777777" w:rsidR="001138E2" w:rsidRPr="00CB78DD" w:rsidRDefault="002B2961" w:rsidP="001138E2">
      <w:pPr>
        <w:pStyle w:val="gp-tekst"/>
        <w:pBdr>
          <w:top w:val="single" w:sz="6" w:space="1" w:color="auto"/>
          <w:left w:val="single" w:sz="6" w:space="1" w:color="auto"/>
          <w:bottom w:val="single" w:sz="6" w:space="1" w:color="auto"/>
          <w:right w:val="single" w:sz="6" w:space="1" w:color="auto"/>
        </w:pBdr>
        <w:tabs>
          <w:tab w:val="left" w:pos="1560"/>
        </w:tabs>
        <w:spacing w:before="80"/>
        <w:rPr>
          <w:rFonts w:ascii="Times New Roman" w:hAnsi="Times New Roman"/>
          <w:sz w:val="22"/>
          <w:szCs w:val="22"/>
          <w:lang w:val="nb-NO"/>
        </w:rPr>
      </w:pPr>
      <w:r w:rsidRPr="00CB78DD">
        <w:rPr>
          <w:rFonts w:ascii="Times New Roman" w:hAnsi="Times New Roman"/>
          <w:sz w:val="22"/>
          <w:szCs w:val="22"/>
          <w:lang w:val="nb-NO"/>
        </w:rPr>
        <w:t xml:space="preserve">Saksnr: </w:t>
      </w:r>
      <w:r w:rsidRPr="00CB78DD">
        <w:rPr>
          <w:rFonts w:ascii="Times New Roman" w:hAnsi="Times New Roman"/>
          <w:sz w:val="22"/>
          <w:szCs w:val="22"/>
          <w:lang w:val="nb-NO"/>
        </w:rPr>
        <w:tab/>
      </w:r>
      <w:r w:rsidR="003F47F0" w:rsidRPr="00CB78DD">
        <w:rPr>
          <w:rFonts w:ascii="Times New Roman" w:hAnsi="Times New Roman"/>
          <w:sz w:val="22"/>
          <w:szCs w:val="22"/>
          <w:lang w:val="nb-NO"/>
        </w:rPr>
        <w:t>D-</w:t>
      </w:r>
      <w:r w:rsidR="005E14E8" w:rsidRPr="00CB78DD">
        <w:rPr>
          <w:rFonts w:ascii="Times New Roman" w:hAnsi="Times New Roman"/>
          <w:sz w:val="22"/>
          <w:szCs w:val="22"/>
          <w:lang w:val="nb-NO"/>
        </w:rPr>
        <w:t>sak</w:t>
      </w:r>
      <w:r w:rsidR="003F47F0" w:rsidRPr="00CB78DD">
        <w:rPr>
          <w:rFonts w:ascii="Times New Roman" w:hAnsi="Times New Roman"/>
          <w:sz w:val="22"/>
          <w:szCs w:val="22"/>
          <w:lang w:val="nb-NO"/>
        </w:rPr>
        <w:t xml:space="preserve"> 1</w:t>
      </w:r>
    </w:p>
    <w:p w14:paraId="1C3DADC2" w14:textId="77777777" w:rsidR="001138E2" w:rsidRPr="00CB78DD" w:rsidRDefault="00937EBB" w:rsidP="001138E2">
      <w:pPr>
        <w:pStyle w:val="gp-tekst"/>
        <w:pBdr>
          <w:top w:val="single" w:sz="6" w:space="1" w:color="auto"/>
          <w:left w:val="single" w:sz="6" w:space="1" w:color="auto"/>
          <w:bottom w:val="single" w:sz="6" w:space="1" w:color="auto"/>
          <w:right w:val="single" w:sz="6" w:space="1" w:color="auto"/>
        </w:pBdr>
        <w:tabs>
          <w:tab w:val="left" w:pos="1560"/>
        </w:tabs>
        <w:spacing w:before="80"/>
        <w:rPr>
          <w:rFonts w:ascii="Times New Roman" w:hAnsi="Times New Roman"/>
          <w:sz w:val="22"/>
          <w:szCs w:val="22"/>
          <w:lang w:val="nb-NO"/>
        </w:rPr>
      </w:pPr>
      <w:r w:rsidRPr="00CB78DD">
        <w:rPr>
          <w:rFonts w:ascii="Times New Roman" w:hAnsi="Times New Roman"/>
          <w:sz w:val="22"/>
          <w:szCs w:val="22"/>
          <w:lang w:val="nb-NO"/>
        </w:rPr>
        <w:t>Møtedato:</w:t>
      </w:r>
      <w:r w:rsidRPr="00CB78DD">
        <w:rPr>
          <w:rFonts w:ascii="Times New Roman" w:hAnsi="Times New Roman"/>
          <w:sz w:val="22"/>
          <w:szCs w:val="22"/>
          <w:lang w:val="nb-NO"/>
        </w:rPr>
        <w:tab/>
      </w:r>
      <w:r w:rsidR="00DB2DA9" w:rsidRPr="00CB78DD">
        <w:rPr>
          <w:rFonts w:ascii="Times New Roman" w:hAnsi="Times New Roman"/>
          <w:sz w:val="22"/>
          <w:szCs w:val="22"/>
          <w:lang w:val="nb-NO"/>
        </w:rPr>
        <w:t>22. mars 2019</w:t>
      </w:r>
    </w:p>
    <w:p w14:paraId="053FA4CD" w14:textId="77777777" w:rsidR="001138E2" w:rsidRPr="00CB78DD" w:rsidRDefault="00504FEE" w:rsidP="001138E2">
      <w:pPr>
        <w:pStyle w:val="gp-tekst"/>
        <w:pBdr>
          <w:top w:val="single" w:sz="6" w:space="1" w:color="auto"/>
          <w:left w:val="single" w:sz="6" w:space="1" w:color="auto"/>
          <w:bottom w:val="single" w:sz="6" w:space="1" w:color="auto"/>
          <w:right w:val="single" w:sz="6" w:space="1" w:color="auto"/>
        </w:pBdr>
        <w:tabs>
          <w:tab w:val="left" w:pos="1560"/>
        </w:tabs>
        <w:spacing w:before="80"/>
        <w:rPr>
          <w:rFonts w:ascii="Times New Roman" w:hAnsi="Times New Roman"/>
          <w:sz w:val="22"/>
          <w:szCs w:val="22"/>
          <w:lang w:val="nb-NO"/>
        </w:rPr>
      </w:pPr>
      <w:r w:rsidRPr="00CB78DD">
        <w:rPr>
          <w:rFonts w:ascii="Times New Roman" w:hAnsi="Times New Roman"/>
          <w:sz w:val="22"/>
          <w:szCs w:val="22"/>
          <w:lang w:val="nb-NO"/>
        </w:rPr>
        <w:t xml:space="preserve">Notatdato: </w:t>
      </w:r>
      <w:r w:rsidRPr="00CB78DD">
        <w:rPr>
          <w:rFonts w:ascii="Times New Roman" w:hAnsi="Times New Roman"/>
          <w:sz w:val="22"/>
          <w:szCs w:val="22"/>
          <w:lang w:val="nb-NO"/>
        </w:rPr>
        <w:tab/>
      </w:r>
      <w:r w:rsidR="00F52407">
        <w:rPr>
          <w:rFonts w:ascii="Times New Roman" w:hAnsi="Times New Roman"/>
          <w:sz w:val="22"/>
          <w:szCs w:val="22"/>
          <w:lang w:val="nb-NO"/>
        </w:rPr>
        <w:t>14</w:t>
      </w:r>
      <w:r w:rsidR="00096609" w:rsidRPr="00CB78DD">
        <w:rPr>
          <w:rFonts w:ascii="Times New Roman" w:hAnsi="Times New Roman"/>
          <w:sz w:val="22"/>
          <w:szCs w:val="22"/>
          <w:lang w:val="nb-NO"/>
        </w:rPr>
        <w:t>. mars 2019</w:t>
      </w:r>
    </w:p>
    <w:p w14:paraId="75A1FE39" w14:textId="77777777" w:rsidR="001138E2" w:rsidRPr="00CB78DD" w:rsidRDefault="001138E2" w:rsidP="001138E2">
      <w:pPr>
        <w:pStyle w:val="gp-tekst"/>
        <w:pBdr>
          <w:top w:val="single" w:sz="6" w:space="1" w:color="auto"/>
          <w:left w:val="single" w:sz="6" w:space="1" w:color="auto"/>
          <w:bottom w:val="single" w:sz="6" w:space="1" w:color="auto"/>
          <w:right w:val="single" w:sz="6" w:space="1" w:color="auto"/>
        </w:pBdr>
        <w:tabs>
          <w:tab w:val="left" w:pos="1560"/>
        </w:tabs>
        <w:spacing w:before="80"/>
        <w:rPr>
          <w:rFonts w:ascii="Times New Roman" w:hAnsi="Times New Roman"/>
          <w:sz w:val="22"/>
          <w:szCs w:val="22"/>
          <w:lang w:val="nb-NO"/>
        </w:rPr>
      </w:pPr>
      <w:r w:rsidRPr="00CB78DD">
        <w:rPr>
          <w:rFonts w:ascii="Times New Roman" w:hAnsi="Times New Roman"/>
          <w:sz w:val="22"/>
          <w:szCs w:val="22"/>
          <w:lang w:val="nb-NO"/>
        </w:rPr>
        <w:t xml:space="preserve">Saksbehandler: </w:t>
      </w:r>
      <w:r w:rsidRPr="00CB78DD">
        <w:rPr>
          <w:rFonts w:ascii="Times New Roman" w:hAnsi="Times New Roman"/>
          <w:sz w:val="22"/>
          <w:szCs w:val="22"/>
          <w:lang w:val="nb-NO"/>
        </w:rPr>
        <w:tab/>
      </w:r>
      <w:r w:rsidR="00096609" w:rsidRPr="00CB78DD">
        <w:rPr>
          <w:rFonts w:ascii="Times New Roman" w:hAnsi="Times New Roman"/>
          <w:sz w:val="22"/>
          <w:szCs w:val="22"/>
          <w:lang w:val="nb-NO"/>
        </w:rPr>
        <w:t>TH/</w:t>
      </w:r>
      <w:r w:rsidR="005E14E8" w:rsidRPr="00CB78DD">
        <w:rPr>
          <w:rFonts w:ascii="Times New Roman" w:hAnsi="Times New Roman"/>
          <w:sz w:val="22"/>
          <w:szCs w:val="22"/>
          <w:lang w:val="nb-NO"/>
        </w:rPr>
        <w:t>TVS</w:t>
      </w:r>
    </w:p>
    <w:bookmarkEnd w:id="0"/>
    <w:p w14:paraId="18F66642" w14:textId="57FEA0BE" w:rsidR="00964427" w:rsidRPr="0070206C" w:rsidRDefault="00DB2DA9" w:rsidP="0070206C">
      <w:pPr>
        <w:pStyle w:val="Title"/>
      </w:pPr>
      <w:r w:rsidRPr="00CB78DD">
        <w:t>Organisering av sentre</w:t>
      </w:r>
      <w:r w:rsidR="00AF2CF7" w:rsidRPr="00CB78DD">
        <w:t xml:space="preserve"> ved Det samfunnsvitenskapelige fakultet</w:t>
      </w:r>
    </w:p>
    <w:p w14:paraId="3FBDBE8E" w14:textId="77777777" w:rsidR="00C64333" w:rsidRPr="00CB78DD" w:rsidRDefault="00C64333" w:rsidP="0070206C">
      <w:pPr>
        <w:pStyle w:val="Heading1"/>
      </w:pPr>
      <w:r w:rsidRPr="00CB78DD">
        <w:t>Innledning</w:t>
      </w:r>
    </w:p>
    <w:p w14:paraId="6892AA52" w14:textId="7F531587" w:rsidR="00C64333" w:rsidRPr="00DA31F4" w:rsidRDefault="001C455E" w:rsidP="00D87184">
      <w:pPr>
        <w:pStyle w:val="BodyText"/>
        <w:rPr>
          <w:rFonts w:eastAsia="Times New Roman"/>
          <w:szCs w:val="24"/>
        </w:rPr>
      </w:pPr>
      <w:r w:rsidRPr="00DA31F4">
        <w:rPr>
          <w:rFonts w:eastAsia="Times New Roman"/>
          <w:szCs w:val="24"/>
        </w:rPr>
        <w:t xml:space="preserve">Organisering av sentre ved fakultetet ble </w:t>
      </w:r>
      <w:r w:rsidR="008B373D" w:rsidRPr="00DA31F4">
        <w:rPr>
          <w:rFonts w:eastAsia="Times New Roman"/>
          <w:szCs w:val="24"/>
        </w:rPr>
        <w:t>behandlet</w:t>
      </w:r>
      <w:r w:rsidR="000A3ECB" w:rsidRPr="00DA31F4">
        <w:rPr>
          <w:rFonts w:eastAsia="Times New Roman"/>
          <w:szCs w:val="24"/>
        </w:rPr>
        <w:t xml:space="preserve"> som </w:t>
      </w:r>
      <w:r w:rsidR="00DF26A6" w:rsidRPr="00DA31F4">
        <w:rPr>
          <w:rFonts w:eastAsia="Times New Roman"/>
          <w:szCs w:val="24"/>
        </w:rPr>
        <w:t>V-sak 3</w:t>
      </w:r>
      <w:r w:rsidRPr="00DA31F4">
        <w:rPr>
          <w:rFonts w:eastAsia="Times New Roman"/>
          <w:szCs w:val="24"/>
        </w:rPr>
        <w:t xml:space="preserve"> om årsplan 2019-2021 (tiltak 15) og </w:t>
      </w:r>
      <w:r w:rsidR="00DF26A6" w:rsidRPr="00DA31F4">
        <w:rPr>
          <w:rFonts w:eastAsia="Times New Roman"/>
          <w:szCs w:val="24"/>
        </w:rPr>
        <w:t>O-sak 3</w:t>
      </w:r>
      <w:r w:rsidRPr="00DA31F4">
        <w:rPr>
          <w:rFonts w:eastAsia="Times New Roman"/>
          <w:szCs w:val="24"/>
        </w:rPr>
        <w:t xml:space="preserve"> </w:t>
      </w:r>
      <w:r w:rsidR="000A3ECB" w:rsidRPr="00DA31F4">
        <w:rPr>
          <w:rFonts w:eastAsia="Times New Roman"/>
          <w:szCs w:val="24"/>
        </w:rPr>
        <w:t>i fakultetsstyremøte</w:t>
      </w:r>
      <w:r w:rsidR="008B373D" w:rsidRPr="00DA31F4">
        <w:rPr>
          <w:rFonts w:eastAsia="Times New Roman"/>
          <w:szCs w:val="24"/>
        </w:rPr>
        <w:t>t</w:t>
      </w:r>
      <w:r w:rsidR="000A3ECB" w:rsidRPr="00DA31F4">
        <w:rPr>
          <w:rFonts w:eastAsia="Times New Roman"/>
          <w:szCs w:val="24"/>
        </w:rPr>
        <w:t xml:space="preserve"> 6. desember 2018. </w:t>
      </w:r>
      <w:r w:rsidR="00C64333" w:rsidRPr="00DA31F4">
        <w:rPr>
          <w:rFonts w:eastAsia="Times New Roman"/>
          <w:szCs w:val="24"/>
        </w:rPr>
        <w:t xml:space="preserve">Fakultetet har </w:t>
      </w:r>
      <w:r w:rsidR="009B3253">
        <w:rPr>
          <w:rFonts w:eastAsia="Times New Roman"/>
          <w:szCs w:val="24"/>
        </w:rPr>
        <w:t xml:space="preserve">i </w:t>
      </w:r>
      <w:r w:rsidR="009B3253" w:rsidRPr="00DA31F4">
        <w:t>notat til grunnenhetene om organisering av sentre ved SV-fakultetet datert 12.12.2018</w:t>
      </w:r>
      <w:r w:rsidR="009B3253">
        <w:t xml:space="preserve"> </w:t>
      </w:r>
      <w:r w:rsidR="00C64333" w:rsidRPr="00DA31F4">
        <w:rPr>
          <w:rFonts w:eastAsia="Times New Roman"/>
          <w:szCs w:val="24"/>
        </w:rPr>
        <w:t>bedt de berørte grunnenhetene om å ta stilling til dekanens forslag og eventuelt foreslå andre organisatoriske løsninger.</w:t>
      </w:r>
      <w:r w:rsidR="000A3ECB" w:rsidRPr="00DA31F4">
        <w:rPr>
          <w:rFonts w:eastAsia="Times New Roman"/>
          <w:szCs w:val="24"/>
        </w:rPr>
        <w:t xml:space="preserve"> </w:t>
      </w:r>
      <w:r w:rsidR="008B373D" w:rsidRPr="00DA31F4">
        <w:rPr>
          <w:rFonts w:eastAsia="Times New Roman"/>
          <w:szCs w:val="24"/>
        </w:rPr>
        <w:t>Fristen for høringsuttalelse</w:t>
      </w:r>
      <w:r w:rsidR="000A3ECB" w:rsidRPr="00DA31F4">
        <w:rPr>
          <w:rFonts w:eastAsia="Times New Roman"/>
          <w:szCs w:val="24"/>
        </w:rPr>
        <w:t xml:space="preserve"> ble satt til 15. februar 2019.</w:t>
      </w:r>
    </w:p>
    <w:p w14:paraId="5D9D0ACB" w14:textId="763AA587" w:rsidR="00C64333" w:rsidRDefault="00C64333" w:rsidP="00D87184">
      <w:pPr>
        <w:pStyle w:val="BodyText"/>
        <w:rPr>
          <w:szCs w:val="24"/>
        </w:rPr>
      </w:pPr>
      <w:r w:rsidRPr="00DA31F4">
        <w:rPr>
          <w:szCs w:val="24"/>
        </w:rPr>
        <w:t xml:space="preserve">Alle enheter </w:t>
      </w:r>
      <w:r w:rsidR="00F52407" w:rsidRPr="00DA31F4">
        <w:rPr>
          <w:szCs w:val="24"/>
        </w:rPr>
        <w:t>samt</w:t>
      </w:r>
      <w:r w:rsidRPr="00DA31F4">
        <w:rPr>
          <w:szCs w:val="24"/>
        </w:rPr>
        <w:t xml:space="preserve"> studenter ved TIK har levert høringsuttalelse. Fakultetet har mottatt totalt </w:t>
      </w:r>
      <w:r w:rsidR="00F52407" w:rsidRPr="00DA31F4">
        <w:rPr>
          <w:szCs w:val="24"/>
        </w:rPr>
        <w:t>åtte</w:t>
      </w:r>
      <w:r w:rsidRPr="00DA31F4">
        <w:rPr>
          <w:szCs w:val="24"/>
        </w:rPr>
        <w:t xml:space="preserve"> høringssvar. I tillegg er det kommet inn et studentopprop fra studentene ved TIK og SAI. </w:t>
      </w:r>
      <w:r w:rsidR="00F52407" w:rsidRPr="00DA31F4">
        <w:rPr>
          <w:szCs w:val="24"/>
        </w:rPr>
        <w:t>Syv</w:t>
      </w:r>
      <w:r w:rsidRPr="00DA31F4">
        <w:rPr>
          <w:szCs w:val="24"/>
        </w:rPr>
        <w:t xml:space="preserve"> av høringssvarene var negative</w:t>
      </w:r>
      <w:r w:rsidR="00F52407" w:rsidRPr="00DA31F4">
        <w:rPr>
          <w:szCs w:val="24"/>
        </w:rPr>
        <w:t>, mens</w:t>
      </w:r>
      <w:r w:rsidRPr="00DA31F4">
        <w:rPr>
          <w:szCs w:val="24"/>
        </w:rPr>
        <w:t xml:space="preserve"> </w:t>
      </w:r>
      <w:r w:rsidR="00F52407" w:rsidRPr="00DA31F4">
        <w:rPr>
          <w:szCs w:val="24"/>
        </w:rPr>
        <w:t>é</w:t>
      </w:r>
      <w:r w:rsidRPr="00DA31F4">
        <w:rPr>
          <w:szCs w:val="24"/>
        </w:rPr>
        <w:t>n enhet stiller seg positiv til en omorganisering.</w:t>
      </w:r>
    </w:p>
    <w:p w14:paraId="1C0449E3" w14:textId="316DD474" w:rsidR="00F9154B" w:rsidRPr="00DA31F4" w:rsidRDefault="00F9154B" w:rsidP="00F9154B">
      <w:pPr>
        <w:pStyle w:val="BodyText"/>
      </w:pPr>
      <w:r>
        <w:t xml:space="preserve">Nedenfor gis </w:t>
      </w:r>
      <w:r w:rsidRPr="00DA31F4">
        <w:t>en oppsummering av høringssvarene. Det gis også en oversikt over historikk, antall årsverk og økonomisk utvikling for ARENA og TIK, og til slutt en vurdering av faglige prioriteringer, forskning og undervisning, administrasjon og økonomi</w:t>
      </w:r>
      <w:r w:rsidR="00104520">
        <w:t xml:space="preserve"> på basis av høringsnotatet og høringssvarene.</w:t>
      </w:r>
    </w:p>
    <w:p w14:paraId="75FA7739" w14:textId="7322BB64" w:rsidR="00F9154B" w:rsidRPr="00DA31F4" w:rsidRDefault="00F9154B" w:rsidP="00D87184">
      <w:pPr>
        <w:pStyle w:val="BodyText"/>
        <w:rPr>
          <w:i/>
          <w:szCs w:val="24"/>
        </w:rPr>
      </w:pPr>
      <w:r>
        <w:rPr>
          <w:szCs w:val="24"/>
        </w:rPr>
        <w:t xml:space="preserve">Fordi </w:t>
      </w:r>
      <w:r w:rsidR="00AF11AF">
        <w:rPr>
          <w:szCs w:val="24"/>
        </w:rPr>
        <w:t>forholdene</w:t>
      </w:r>
      <w:r>
        <w:rPr>
          <w:szCs w:val="24"/>
        </w:rPr>
        <w:t xml:space="preserve"> for ARENA og TIK er nokså forskjellig</w:t>
      </w:r>
      <w:r w:rsidR="00AF11AF">
        <w:rPr>
          <w:szCs w:val="24"/>
        </w:rPr>
        <w:t>e</w:t>
      </w:r>
      <w:r>
        <w:rPr>
          <w:szCs w:val="24"/>
        </w:rPr>
        <w:t xml:space="preserve">, blir de i vurderingen behandlet hver for seg. For å unngå gjentagelser og gi en bakgrunn for vurderingene, gjengis først høringsnotatet i </w:t>
      </w:r>
      <w:r w:rsidR="00185D79">
        <w:rPr>
          <w:szCs w:val="24"/>
        </w:rPr>
        <w:t>forkortet</w:t>
      </w:r>
      <w:r>
        <w:rPr>
          <w:szCs w:val="24"/>
        </w:rPr>
        <w:t xml:space="preserve"> form.</w:t>
      </w:r>
    </w:p>
    <w:p w14:paraId="1E69FEED" w14:textId="6E939DD3" w:rsidR="00D87184" w:rsidRDefault="00D87184" w:rsidP="0070206C">
      <w:pPr>
        <w:pStyle w:val="Heading1"/>
      </w:pPr>
      <w:r>
        <w:t>Høringsnotat</w:t>
      </w:r>
    </w:p>
    <w:p w14:paraId="5A6D6A5F" w14:textId="08C98914" w:rsidR="007F1590" w:rsidRPr="00002EA4" w:rsidRDefault="007F1590" w:rsidP="007F1590">
      <w:r>
        <w:t>Høringsnotatet tar utgangspunkt i at e</w:t>
      </w:r>
      <w:r w:rsidRPr="00002EA4">
        <w:t>t</w:t>
      </w:r>
      <w:r w:rsidR="00F9154B">
        <w:t xml:space="preserve"> </w:t>
      </w:r>
      <w:r w:rsidRPr="00002EA4">
        <w:t>særtrekk ved universitetene er at de driver med både forskning og undervisning (i tillegg til andre oppgaver). De to oppgavene er likestilte og understøtter hverandre i den grad at de er integrert i den enkelte vitenskapelige stilling; hovedregelen er at vitenskapelig ansatte har delte stillinger, med ansvar for både forskning og undervisning.</w:t>
      </w:r>
    </w:p>
    <w:p w14:paraId="55F52B27" w14:textId="58964F57" w:rsidR="007F1590" w:rsidRPr="00002EA4" w:rsidRDefault="007F1590" w:rsidP="007F1590">
      <w:r w:rsidRPr="00002EA4">
        <w:lastRenderedPageBreak/>
        <w:t>Den sterke veksten i prosjektfinansiering utfordrer balansen mellom forskning og undervisning på flere måter</w:t>
      </w:r>
      <w:r w:rsidR="00F9154B">
        <w:t xml:space="preserve">. </w:t>
      </w:r>
      <w:r w:rsidRPr="00002EA4">
        <w:t>De som arbeider på prosjektene, ansettes i mange tilfeller i stillinger med lite (postdoktorer) eller ingen undervisning (forskere og II-ere). Dette kan være fornuftig, særlig for å dekke spesielle faglige behov av kortsiktig karakter. Det innebærer imidlertid at en gruppe av vitenskapelig ansatte ikke har direkte kontakt med den ene av hovedoppgavene, undervisning.</w:t>
      </w:r>
    </w:p>
    <w:p w14:paraId="39854F96" w14:textId="4EDE5BCF" w:rsidR="007F1590" w:rsidRPr="00002EA4" w:rsidRDefault="007F1590" w:rsidP="007F1590">
      <w:r w:rsidRPr="00002EA4">
        <w:t>Prosjektene organiseres i mange tilfeller som sentre</w:t>
      </w:r>
      <w:r w:rsidR="009D0879">
        <w:t>.</w:t>
      </w:r>
      <w:r w:rsidRPr="00002EA4">
        <w:t xml:space="preserve"> Dette kan være fornuftig, særlig når det er viktig med en kraftsamling, eller for å gi forskningsprosjektene er klar organisatorisk ramme og en tydelig profil internt og eksternt. En senterorganisering kan imidlertid skape avstand til virksomheten forøvrig, særlig hvis innslaget av ansatte med rene forskningsoppgaver blir stort.</w:t>
      </w:r>
    </w:p>
    <w:p w14:paraId="4A4AEDDB" w14:textId="77777777" w:rsidR="007F1590" w:rsidRPr="00002EA4" w:rsidRDefault="007F1590" w:rsidP="007F1590">
      <w:r w:rsidRPr="00002EA4">
        <w:t>I enkelte tilfeller organiseres sentrene som selvstendige enheter, uten direkte anknytning til et større fagmiljø. Dette kan være fornuftig når satsningen er langvarig og av en viss størrelse. En slik organisering forsterker imidlertid avstanden til den øvrige virksomheten; den kan også gjøre enhetene sårbare for svingninger i prosjektinntekter.</w:t>
      </w:r>
    </w:p>
    <w:p w14:paraId="2A6F78B0" w14:textId="61AF34C8" w:rsidR="00002EA4" w:rsidRDefault="007F1590" w:rsidP="007F1590">
      <w:r w:rsidRPr="00002EA4">
        <w:t>Hvordan den prosjektfinansierte forskningen innrettes, er med andre ord av betydning for hvor godt universitetet løser sine ulike oppgaver, og spesielt for samspillet mellom forsknings- og undervisningsoppgavene.</w:t>
      </w:r>
      <w:r w:rsidR="00F9154B">
        <w:t xml:space="preserve"> I denne saken</w:t>
      </w:r>
      <w:r w:rsidRPr="00002EA4">
        <w:t xml:space="preserve"> </w:t>
      </w:r>
      <w:r w:rsidR="009B3253">
        <w:t xml:space="preserve">er </w:t>
      </w:r>
      <w:r w:rsidRPr="00002EA4">
        <w:t xml:space="preserve">oppmerksomheten </w:t>
      </w:r>
      <w:r w:rsidR="009B3253">
        <w:t xml:space="preserve">konsentrert </w:t>
      </w:r>
      <w:r w:rsidRPr="00002EA4">
        <w:t>om sentrenes organisatoriske plassering, nærmere bestemt hvorvidt de skal ligge til et institutt, eller om de skal ligge direkte under fakultetet.</w:t>
      </w:r>
    </w:p>
    <w:p w14:paraId="42E20D7A" w14:textId="34FDD455" w:rsidR="007F1590" w:rsidRDefault="007F1590" w:rsidP="007F1590">
      <w:r>
        <w:t xml:space="preserve">Fakultetet huser en rekke sentre, inkludert ARENA Senter for europaforskning, C-REX Senter for ekstremismeforskning, ESOP Senter for studier i likhet, sosial organisering og økonomisk politikk, LCBC Senter for livsløpsendringer i hjerne og kognisjon, OFS Oslo Fiscal Studies, OSIRIS Oslo Institute for Research on the Impact of Science, </w:t>
      </w:r>
      <w:r w:rsidRPr="007F1590">
        <w:t>PROMENTA Research Centre for Developmental Processes and Gradients in Mental Health</w:t>
      </w:r>
      <w:r>
        <w:t>, RITMO Senter for tverrfaglig forskning på rytme, tid og bevegelse og TIK Senter for teknologi, innovasjon og kultur.</w:t>
      </w:r>
    </w:p>
    <w:p w14:paraId="2FB9F79A" w14:textId="77777777" w:rsidR="007F1590" w:rsidRDefault="007F1590" w:rsidP="007F1590">
      <w:pPr>
        <w:pStyle w:val="BodyText"/>
      </w:pPr>
      <w:r>
        <w:t>Bortsett fra ARENA og TIK er alle sentre ved fakultetet lagt under institutter. At ARENA og TIK har en annen organisatorisk plassering enn de øvrige sentrene, har historiske årsaker. Hverken størrelse, faglig innretning eller finansiering skulle i seg selv tilsi en annen organisering av disse sentrene enn de øvrige. For eksempel er LCBC og ESOP av samme størrelsesorden som ARENA og TIK. Det finnes både énfaglige og tverrfaglige instituttsentre, noen med innslag av fag som ikke ellers er representert ved fakultetet (som f.eks. LCBC og RITMO). Når det gjelder finansiering, er instituttsentrene i hovedsak prosjektfinansierte, men mange har også basisinntekter.</w:t>
      </w:r>
    </w:p>
    <w:p w14:paraId="7C82D042" w14:textId="3E572966" w:rsidR="007F1590" w:rsidRDefault="007F1590" w:rsidP="00683723">
      <w:pPr>
        <w:pStyle w:val="BodyText"/>
      </w:pPr>
      <w:r>
        <w:lastRenderedPageBreak/>
        <w:t>Det er ikke aktuell politikk å skille ut noen av dagens instituttsentre som frittstående enheter under fakultetet. Det er heller ikke aktuelt å utvikle ARENA og TIK til fullverdige institutter. Det ville kreve en vesentlig overføring av ressurser fra de eksisterende instituttene, særlig i form av studieplasser. I tillegg ville det bryte med det disiplinære prinsippet for organisering ved fakultetet.</w:t>
      </w:r>
      <w:r w:rsidR="00F9154B">
        <w:t xml:space="preserve"> </w:t>
      </w:r>
      <w:r>
        <w:t>Det relevante spørsmål er derfor hvorvidt ARENA og TIK bør legges under institutter.</w:t>
      </w:r>
    </w:p>
    <w:p w14:paraId="0528838F" w14:textId="0B44B96D" w:rsidR="007F1590" w:rsidRDefault="007F1590" w:rsidP="007F1590">
      <w:pPr>
        <w:pStyle w:val="BodyText"/>
      </w:pPr>
      <w:r>
        <w:t>Når et senter ligger under et institutt, vil instituttstyret fungere som styre for senteret. For ARENA og TIK vil derfor instituttstyret erstatte dagens styrer dersom sentrene legges under institutter.</w:t>
      </w:r>
      <w:r w:rsidR="00683723">
        <w:t xml:space="preserve"> </w:t>
      </w:r>
      <w:r>
        <w:t>Til erstatning for dagen styre, kan det opprettes et faglig råd for senteret, slik mange av instituttsentrene har.</w:t>
      </w:r>
      <w:r w:rsidR="00683723">
        <w:t xml:space="preserve"> </w:t>
      </w:r>
      <w:r>
        <w:t>Ledelsen av senteret behøver ikke endres, men senterlederen vil rapportere til instituttlederen snarere enn til dekanen. Det er heller ikke behov for andre organisatoriske endringer.</w:t>
      </w:r>
    </w:p>
    <w:p w14:paraId="668A3ADA" w14:textId="08C78870" w:rsidR="00683723" w:rsidRDefault="00683723" w:rsidP="007F1590">
      <w:pPr>
        <w:pStyle w:val="BodyText"/>
      </w:pPr>
      <w:r>
        <w:t>Den organisatorisk</w:t>
      </w:r>
      <w:r w:rsidR="009B3253">
        <w:t>e</w:t>
      </w:r>
      <w:r>
        <w:t xml:space="preserve"> plasseringen kan ha betydning på ulike områder, herunder for faglige prioriteringer, forskning og undervisning, administrasjon og økonomi.</w:t>
      </w:r>
    </w:p>
    <w:p w14:paraId="26B6B9DD" w14:textId="246FF931" w:rsidR="007F1590" w:rsidRDefault="007F1590" w:rsidP="007F1590">
      <w:pPr>
        <w:pStyle w:val="BodyText"/>
      </w:pPr>
      <w:r>
        <w:t>Ved fakultet er de faglige prioriteringene i det alt vesentlige delegert til enhetene. Det er fordi det er på enhetene den faglige kompetansen ligger. Fakultetets involvering er begrenset til prioritering mellom enhetene, noe som i hovedsak skjer gjennom fordelingen av ressurser (i praksis ved en fordelingsmodell).</w:t>
      </w:r>
      <w:r w:rsidR="00683723">
        <w:t xml:space="preserve"> </w:t>
      </w:r>
      <w:r>
        <w:t>En slik delegert struktur fungerer best dersom de enkelte enheter er relativt store; jo større enhetene er, desto flere faglige spørsmål er interne. Dersom enhetene er små, vil mange faglige problemstillinger gå på tvers av enhetene; det gjelder for eksempel avveiningen mellom ulike studieprogrammer, eller prioritering mellom ulike forskningsprosjekter. Det innebærer at med små enheter vil mange hensyn ikke fanges opp i en desentralisert organisasjonsmodell.</w:t>
      </w:r>
    </w:p>
    <w:p w14:paraId="782EF96B" w14:textId="1AE8A592" w:rsidR="007F1590" w:rsidRPr="00765FCA" w:rsidRDefault="007F1590" w:rsidP="00683723">
      <w:pPr>
        <w:pStyle w:val="BodyText"/>
      </w:pPr>
      <w:r>
        <w:t>Det virker rimelig å legge til grunn at samspillet mellom forskningsaktiviteten og undervisningen blir bedre dersom forskningssenteret ligger under et institutt enn dersom det er frittstående.</w:t>
      </w:r>
      <w:r w:rsidR="00683723">
        <w:t xml:space="preserve"> </w:t>
      </w:r>
      <w:r>
        <w:t>Organisering under et institutt er hverken en nødvendig eller tilstrekkelig betingelse for et slikt resultat. C-REX ligger under Institutt for statsvitenskap, men de ansatte ved senteret deltar ikke i undervisningen, og instituttet har bare et begrenset undervisningstilbud innenfor fagområdet til C-REX.</w:t>
      </w:r>
      <w:r w:rsidR="00683723">
        <w:t xml:space="preserve"> </w:t>
      </w:r>
      <w:r>
        <w:t xml:space="preserve">C-REX er imidlertid en unntagelse. Ved alle de andre instituttsentrene er det ansatte som bidrar til undervisningen, og instituttene har undervisningstilbud som reflekterer fagområdene til sentrene. </w:t>
      </w:r>
    </w:p>
    <w:p w14:paraId="52554520" w14:textId="77777777" w:rsidR="007F1590" w:rsidRPr="008F2CEA" w:rsidRDefault="007F1590" w:rsidP="007F1590">
      <w:pPr>
        <w:pStyle w:val="BodyText"/>
      </w:pPr>
      <w:r>
        <w:t>Det er grunn til å regne med både stordrifts- og samdriftsfordeler dersom sentrene legges under institutter. Stordriftsfordelene vil komme ved at man kan redusere overlappet av oppgaver og utnytte den samlede kapasiteten bedre. Samdriftsfordelene vil komme ved at man utnytter de re</w:t>
      </w:r>
      <w:r>
        <w:lastRenderedPageBreak/>
        <w:t>lative styrkene til henholdsvis institutt- og senteradministrasjonene; spesielt kan den forskningsadministrative kompetansen ved sentrene komme til nytte ved vertsinstituttene.</w:t>
      </w:r>
    </w:p>
    <w:p w14:paraId="37BA9B69" w14:textId="7857BE62" w:rsidR="007F1590" w:rsidRDefault="007F1590" w:rsidP="00683723">
      <w:pPr>
        <w:pStyle w:val="BodyText"/>
      </w:pPr>
      <w:r>
        <w:t>Som del av en større enhet blir det lettere å håndtere svingninger i prosjekttilgangen; dersom tilgangen svikter på ett område, kan det kompenseres ved større tilgang på andre. Det betyr blant annet at en større enhet kan operere med en relativt sett større fast stab, fordi svingningene i inntekter blir relativt mindre sett i forhold til enhetens samlede økonomi.</w:t>
      </w:r>
    </w:p>
    <w:p w14:paraId="09D6A099" w14:textId="06CFA2B6" w:rsidR="00D87184" w:rsidRPr="00D87184" w:rsidRDefault="00683723" w:rsidP="00683723">
      <w:pPr>
        <w:pStyle w:val="BodyText"/>
      </w:pPr>
      <w:r>
        <w:t>Høringsnotatet konkluderte med at det</w:t>
      </w:r>
      <w:r w:rsidR="007F1590">
        <w:t xml:space="preserve"> er flere grunner til å legge ARENA og TIK under institutter; det kan bidra til mer helhetlige faglige prioriteringer, bedre avveining mellom forskning og undervisning, synergigevinster i administrasjonen og en mer robust økonomi.</w:t>
      </w:r>
      <w:r>
        <w:t xml:space="preserve"> Spesielt ble det pekt på en løsning der ARENA legges inn under Institutt for statsvitenskap, mens TIK legges inn under Sosialantropologisk institutt. For det sistnevnte forslaget ble det </w:t>
      </w:r>
      <w:r w:rsidR="009D0879">
        <w:t xml:space="preserve">særlig </w:t>
      </w:r>
      <w:r>
        <w:t>pekt på</w:t>
      </w:r>
      <w:r w:rsidR="007F1590">
        <w:t xml:space="preserve"> hensynene til effektiv administrasjon og økonomi</w:t>
      </w:r>
      <w:r>
        <w:t>, og at fordi Sosialantropologisk er det minste</w:t>
      </w:r>
      <w:r w:rsidR="007F1590">
        <w:t xml:space="preserve"> instituttet på fakultetet, </w:t>
      </w:r>
      <w:r>
        <w:t>kunne disse gevinstene være størst der</w:t>
      </w:r>
      <w:r w:rsidR="007F1590">
        <w:t>.</w:t>
      </w:r>
    </w:p>
    <w:p w14:paraId="4C18DF0D" w14:textId="5D0E0A50" w:rsidR="005249B9" w:rsidRDefault="00DA31F4" w:rsidP="0070206C">
      <w:pPr>
        <w:pStyle w:val="Heading1"/>
      </w:pPr>
      <w:r>
        <w:t>Høringsinnspill</w:t>
      </w:r>
    </w:p>
    <w:p w14:paraId="5F40527F" w14:textId="0F6CD1C1" w:rsidR="00DA31F4" w:rsidRPr="00DA31F4" w:rsidRDefault="00DA31F4" w:rsidP="00DA31F4">
      <w:pPr>
        <w:pStyle w:val="BodyText"/>
        <w:rPr>
          <w:szCs w:val="24"/>
        </w:rPr>
      </w:pPr>
      <w:r w:rsidRPr="00DA31F4">
        <w:rPr>
          <w:szCs w:val="24"/>
        </w:rPr>
        <w:t>Oppsummeringen nedenfor er basert på de innleverte høringsuttalelsene og gir en kort oversikt over konklusjonene. For en fullstendig forståelse med vurderinger og begrunnelse for standpunkter vises det til de vedlagte uttalelsene.</w:t>
      </w:r>
      <w:r w:rsidR="009D0879">
        <w:rPr>
          <w:szCs w:val="24"/>
        </w:rPr>
        <w:t xml:space="preserve"> Noen av de mer detaljerte standpunktene er også gjengitt i vurderingen senere i notatet.</w:t>
      </w:r>
    </w:p>
    <w:p w14:paraId="7131E464" w14:textId="68BED987" w:rsidR="005249B9" w:rsidRPr="00CB78DD" w:rsidRDefault="00DA31F4" w:rsidP="0070206C">
      <w:pPr>
        <w:pStyle w:val="Heading2"/>
      </w:pPr>
      <w:r>
        <w:t>Generelle kommentarer</w:t>
      </w:r>
    </w:p>
    <w:p w14:paraId="6914D28A" w14:textId="660F2866" w:rsidR="005249B9" w:rsidRPr="0070206C" w:rsidRDefault="00A500B3" w:rsidP="0070206C">
      <w:pPr>
        <w:pStyle w:val="BodyText"/>
      </w:pPr>
      <w:r w:rsidRPr="00CB78DD">
        <w:t>Flere enheter</w:t>
      </w:r>
      <w:r w:rsidR="005249B9" w:rsidRPr="00CB78DD">
        <w:t xml:space="preserve"> påpeker at </w:t>
      </w:r>
      <w:r w:rsidR="00D85D42" w:rsidRPr="00CB78DD">
        <w:t>det har vært en mangelfull prosess</w:t>
      </w:r>
      <w:r w:rsidR="00F52407">
        <w:t>,</w:t>
      </w:r>
      <w:r w:rsidR="00D85D42" w:rsidRPr="00CB78DD">
        <w:t xml:space="preserve"> og at </w:t>
      </w:r>
      <w:r w:rsidR="005249B9" w:rsidRPr="00CB78DD">
        <w:t>prosessen så langt har vært uklar, rask og ikke med tilstrekkelig informasjon.</w:t>
      </w:r>
    </w:p>
    <w:p w14:paraId="508B5E4F" w14:textId="707142E5" w:rsidR="00DA31F4" w:rsidRPr="00DA31F4" w:rsidRDefault="005249B9" w:rsidP="00DA31F4">
      <w:pPr>
        <w:pStyle w:val="BodyText"/>
      </w:pPr>
      <w:r w:rsidRPr="00CB78DD">
        <w:t>Flere enheter mener forslaget begrunnes i kommende retningslinjer for senterpolitikk ved UiO</w:t>
      </w:r>
      <w:r w:rsidR="00F52407">
        <w:t>,</w:t>
      </w:r>
      <w:r w:rsidRPr="00CB78DD">
        <w:t xml:space="preserve"> som ikke vil være relevante for permanente enheter som TIK og ARENA. Universitetsstyrets D-sak 3, møtenr. 2/2019, gjør det klart at dette er «Politikk for eksternfinansierte sentre ved UiO». Denne politikken er fortsatt under utarbeidelse</w:t>
      </w:r>
      <w:r w:rsidR="00F52407">
        <w:t>,</w:t>
      </w:r>
      <w:r w:rsidRPr="00CB78DD">
        <w:t xml:space="preserve"> og flere enheter mener </w:t>
      </w:r>
      <w:r w:rsidR="008B373D" w:rsidRPr="00CB78DD">
        <w:t xml:space="preserve">at </w:t>
      </w:r>
      <w:r w:rsidRPr="00CB78DD">
        <w:t>den</w:t>
      </w:r>
      <w:r w:rsidR="008B373D" w:rsidRPr="00CB78DD">
        <w:t xml:space="preserve">ne ikke </w:t>
      </w:r>
      <w:r w:rsidRPr="00CB78DD">
        <w:t>kan brukes som vedtaksgrunnlag.</w:t>
      </w:r>
      <w:r w:rsidR="00DA31F4" w:rsidRPr="00DA31F4">
        <w:t xml:space="preserve"> </w:t>
      </w:r>
    </w:p>
    <w:p w14:paraId="352EE5D0" w14:textId="6E8DB3CF" w:rsidR="000A3ECB" w:rsidRPr="003B0110" w:rsidRDefault="00DA31F4" w:rsidP="003B0110">
      <w:pPr>
        <w:pStyle w:val="Heading2"/>
      </w:pPr>
      <w:r>
        <w:t xml:space="preserve">ARENA </w:t>
      </w:r>
      <w:r w:rsidR="00B146FE" w:rsidRPr="00CB78DD">
        <w:t>Senter for europaforskning</w:t>
      </w:r>
    </w:p>
    <w:p w14:paraId="63333713" w14:textId="77777777" w:rsidR="00B146FE" w:rsidRPr="00CB78DD" w:rsidRDefault="00994F5C" w:rsidP="0070206C">
      <w:pPr>
        <w:pStyle w:val="BodyText"/>
      </w:pPr>
      <w:r w:rsidRPr="00CB78DD">
        <w:t>ARENA mener d</w:t>
      </w:r>
      <w:r w:rsidR="00B146FE" w:rsidRPr="00CB78DD">
        <w:t xml:space="preserve">agens ordning ivaretar flere hensyn: </w:t>
      </w:r>
    </w:p>
    <w:p w14:paraId="3ED4BDED" w14:textId="77777777" w:rsidR="00B146FE" w:rsidRPr="00CB78DD" w:rsidRDefault="00B146FE" w:rsidP="0070206C">
      <w:pPr>
        <w:pStyle w:val="ListBullet"/>
      </w:pPr>
      <w:r w:rsidRPr="00CB78DD">
        <w:t>Den beskytter et viktig fagfelt, hvor ARENA utfyller andre fagmiljøer i Norge</w:t>
      </w:r>
      <w:r w:rsidR="00F52407">
        <w:t>.</w:t>
      </w:r>
      <w:r w:rsidRPr="00CB78DD">
        <w:t xml:space="preserve"> </w:t>
      </w:r>
    </w:p>
    <w:p w14:paraId="028707C4" w14:textId="77777777" w:rsidR="00B146FE" w:rsidRPr="00CB78DD" w:rsidRDefault="00B146FE" w:rsidP="0070206C">
      <w:pPr>
        <w:pStyle w:val="ListBullet"/>
      </w:pPr>
      <w:r w:rsidRPr="00CB78DD">
        <w:t>Den sikrer tverrfa</w:t>
      </w:r>
      <w:r w:rsidR="00D85D42" w:rsidRPr="00CB78DD">
        <w:t>glighet</w:t>
      </w:r>
      <w:r w:rsidR="00F52407">
        <w:t>,</w:t>
      </w:r>
      <w:r w:rsidR="00D85D42" w:rsidRPr="00CB78DD">
        <w:t xml:space="preserve"> som er stadig etterlyst</w:t>
      </w:r>
      <w:r w:rsidR="00F52407">
        <w:t>.</w:t>
      </w:r>
    </w:p>
    <w:p w14:paraId="11419571" w14:textId="77777777" w:rsidR="00B146FE" w:rsidRPr="00CB78DD" w:rsidRDefault="00B146FE" w:rsidP="0070206C">
      <w:pPr>
        <w:pStyle w:val="ListBullet"/>
      </w:pPr>
      <w:r w:rsidRPr="00CB78DD">
        <w:t>Den bidrar til høy faglig produktivitet, bygger merkevare</w:t>
      </w:r>
      <w:r w:rsidR="00F52407">
        <w:t xml:space="preserve"> og</w:t>
      </w:r>
      <w:r w:rsidRPr="00CB78DD">
        <w:t xml:space="preserve"> gir høy internasjonal synlighet</w:t>
      </w:r>
      <w:r w:rsidR="00F52407">
        <w:t>.</w:t>
      </w:r>
    </w:p>
    <w:p w14:paraId="1C0EBC1D" w14:textId="77777777" w:rsidR="00B146FE" w:rsidRPr="00CB78DD" w:rsidRDefault="00B146FE" w:rsidP="0070206C">
      <w:pPr>
        <w:pStyle w:val="ListBullet"/>
      </w:pPr>
      <w:r w:rsidRPr="00CB78DD">
        <w:t>Den øker Ui</w:t>
      </w:r>
      <w:r w:rsidR="00B164CC" w:rsidRPr="00CB78DD">
        <w:t>Os omfang av og erfaring med EU-</w:t>
      </w:r>
      <w:r w:rsidRPr="00CB78DD">
        <w:t>finansiering, særlig samarbeidsprosjekter i rollen som koordinator</w:t>
      </w:r>
      <w:r w:rsidR="00F52407">
        <w:t>.</w:t>
      </w:r>
    </w:p>
    <w:p w14:paraId="26B741FE" w14:textId="62C1C111" w:rsidR="00B146FE" w:rsidRPr="0070206C" w:rsidRDefault="00B164CC" w:rsidP="0070206C">
      <w:pPr>
        <w:pStyle w:val="ListBullet"/>
      </w:pPr>
      <w:r w:rsidRPr="00CB78DD">
        <w:lastRenderedPageBreak/>
        <w:t>Den bidrar betydelig til E</w:t>
      </w:r>
      <w:r w:rsidR="00B146FE" w:rsidRPr="00CB78DD">
        <w:t>uropa</w:t>
      </w:r>
      <w:r w:rsidR="00F52407">
        <w:t>-</w:t>
      </w:r>
      <w:r w:rsidR="00B146FE" w:rsidRPr="00CB78DD">
        <w:t>kompetanse ved UiO.</w:t>
      </w:r>
    </w:p>
    <w:p w14:paraId="5F6B7DAB" w14:textId="7888D106" w:rsidR="00B146FE" w:rsidRPr="00CB78DD" w:rsidRDefault="00994F5C" w:rsidP="0070206C">
      <w:pPr>
        <w:pStyle w:val="BodyText"/>
      </w:pPr>
      <w:r w:rsidRPr="00CB78DD">
        <w:t xml:space="preserve">Etter ARENAs vurdering </w:t>
      </w:r>
      <w:r w:rsidR="00B146FE" w:rsidRPr="00CB78DD">
        <w:t xml:space="preserve">opererer </w:t>
      </w:r>
      <w:r w:rsidRPr="00CB78DD">
        <w:t xml:space="preserve">notatet </w:t>
      </w:r>
      <w:r w:rsidR="00B164CC" w:rsidRPr="00CB78DD">
        <w:t xml:space="preserve">fra dekanen </w:t>
      </w:r>
      <w:r w:rsidR="00B146FE" w:rsidRPr="00CB78DD">
        <w:t xml:space="preserve">med et problem som ikke er et problem, og med en løsning som ikke er en løsning. </w:t>
      </w:r>
      <w:r w:rsidRPr="00CB78DD">
        <w:t xml:space="preserve">ARENA mener </w:t>
      </w:r>
      <w:r w:rsidR="00B164CC" w:rsidRPr="00CB78DD">
        <w:t>at det</w:t>
      </w:r>
      <w:r w:rsidR="00B146FE" w:rsidRPr="00CB78DD">
        <w:t xml:space="preserve"> </w:t>
      </w:r>
      <w:r w:rsidR="003B0110">
        <w:t>h</w:t>
      </w:r>
      <w:r w:rsidR="00B146FE" w:rsidRPr="00CB78DD">
        <w:t xml:space="preserve">verken </w:t>
      </w:r>
      <w:r w:rsidR="00B164CC" w:rsidRPr="00CB78DD">
        <w:t xml:space="preserve">foreligger </w:t>
      </w:r>
      <w:r w:rsidR="00B146FE" w:rsidRPr="00CB78DD">
        <w:t xml:space="preserve">faglige eller økonomiske argumenter for forslaget. </w:t>
      </w:r>
      <w:r w:rsidR="00B164CC" w:rsidRPr="00CB78DD">
        <w:t>Etter ARENAS vurdering</w:t>
      </w:r>
      <w:r w:rsidR="00B146FE" w:rsidRPr="00CB78DD">
        <w:t xml:space="preserve"> bidrar </w:t>
      </w:r>
      <w:r w:rsidR="00B164CC" w:rsidRPr="00CB78DD">
        <w:t xml:space="preserve">forslaget </w:t>
      </w:r>
      <w:r w:rsidR="003B0110">
        <w:t>h</w:t>
      </w:r>
      <w:r w:rsidR="00B164CC" w:rsidRPr="00CB78DD">
        <w:t xml:space="preserve">verken </w:t>
      </w:r>
      <w:r w:rsidR="00B146FE" w:rsidRPr="00CB78DD">
        <w:t xml:space="preserve">til å ivareta fagfeltet og ‘merkevaren’ ARENA, eller sikre en optimal infrastruktur som gjør at forskningen og forskningsprosjekter kan fungere med administrative støttefunksjoner. Tvert imot </w:t>
      </w:r>
      <w:r w:rsidRPr="00CB78DD">
        <w:t xml:space="preserve">mener ARENA at </w:t>
      </w:r>
      <w:r w:rsidR="00B146FE" w:rsidRPr="00CB78DD">
        <w:t xml:space="preserve">forslaget </w:t>
      </w:r>
      <w:r w:rsidRPr="00CB78DD">
        <w:t xml:space="preserve">truer </w:t>
      </w:r>
      <w:r w:rsidR="00B146FE" w:rsidRPr="00CB78DD">
        <w:t xml:space="preserve">et fremragende forskningsmiljø. </w:t>
      </w:r>
    </w:p>
    <w:p w14:paraId="39C10581" w14:textId="77777777" w:rsidR="00B146FE" w:rsidRPr="00CB78DD" w:rsidRDefault="00994F5C" w:rsidP="0070206C">
      <w:pPr>
        <w:pStyle w:val="BodyText"/>
      </w:pPr>
      <w:r w:rsidRPr="00CB78DD">
        <w:t>AREN</w:t>
      </w:r>
      <w:r w:rsidR="000A3ECB" w:rsidRPr="00CB78DD">
        <w:t>A</w:t>
      </w:r>
      <w:r w:rsidRPr="00CB78DD">
        <w:t xml:space="preserve"> mener d</w:t>
      </w:r>
      <w:r w:rsidR="00B146FE" w:rsidRPr="00CB78DD">
        <w:t>en</w:t>
      </w:r>
      <w:r w:rsidRPr="00CB78DD">
        <w:t xml:space="preserve"> foreslåtte omorganiseringen </w:t>
      </w:r>
      <w:r w:rsidR="00B146FE" w:rsidRPr="00CB78DD">
        <w:t xml:space="preserve">ikke </w:t>
      </w:r>
      <w:r w:rsidRPr="00CB78DD">
        <w:t xml:space="preserve">er </w:t>
      </w:r>
      <w:r w:rsidR="00B146FE" w:rsidRPr="00CB78DD">
        <w:t xml:space="preserve">kun teknisk, slik det hevdes. Den har store innholdsmessige konsekvenser. ARENA ber om at forslaget avvises og prosessen stoppes. </w:t>
      </w:r>
    </w:p>
    <w:p w14:paraId="3CFCED6C" w14:textId="77777777" w:rsidR="00B146FE" w:rsidRPr="00CB78DD" w:rsidRDefault="00B146FE" w:rsidP="0070206C">
      <w:pPr>
        <w:pStyle w:val="Heading2"/>
      </w:pPr>
      <w:r w:rsidRPr="00CB78DD">
        <w:t>Institutt for sosiologi og samfunnsgeografi</w:t>
      </w:r>
    </w:p>
    <w:p w14:paraId="4E2D0D9E" w14:textId="77777777" w:rsidR="00B146FE" w:rsidRPr="00CB78DD" w:rsidRDefault="00B146FE" w:rsidP="0070206C">
      <w:pPr>
        <w:pStyle w:val="BodyText"/>
      </w:pPr>
      <w:r w:rsidRPr="00CB78DD">
        <w:t>Instituttet mener den beste løsningen er at ARENA og TIK forblir egne enheter.</w:t>
      </w:r>
    </w:p>
    <w:p w14:paraId="317047E2" w14:textId="77777777" w:rsidR="00B146FE" w:rsidRPr="00CB78DD" w:rsidRDefault="00B146FE" w:rsidP="0070206C">
      <w:pPr>
        <w:pStyle w:val="Heading2"/>
      </w:pPr>
      <w:r w:rsidRPr="00CB78DD">
        <w:t>Institutt for statsvitenskap</w:t>
      </w:r>
    </w:p>
    <w:p w14:paraId="3B8268A4" w14:textId="74D8E508" w:rsidR="00B146FE" w:rsidRPr="00CB78DD" w:rsidRDefault="000A3ECB" w:rsidP="0070206C">
      <w:pPr>
        <w:pStyle w:val="BodyText"/>
      </w:pPr>
      <w:r w:rsidRPr="00CB78DD">
        <w:t>Institutt for statsvitenskap</w:t>
      </w:r>
      <w:r w:rsidR="00B146FE" w:rsidRPr="00CB78DD">
        <w:t xml:space="preserve"> stiller seg helt avvisende til forslaget om å legge den virksomheten som i dag drives fra ARENA</w:t>
      </w:r>
      <w:r w:rsidR="00F52407">
        <w:t>,</w:t>
      </w:r>
      <w:r w:rsidR="00B146FE" w:rsidRPr="00CB78DD">
        <w:t xml:space="preserve"> til </w:t>
      </w:r>
      <w:r w:rsidR="00D72566">
        <w:t>instituttet</w:t>
      </w:r>
      <w:r w:rsidR="00B146FE" w:rsidRPr="00CB78DD">
        <w:t xml:space="preserve">. </w:t>
      </w:r>
      <w:r w:rsidR="00D72566">
        <w:t>Instituttet</w:t>
      </w:r>
      <w:r w:rsidR="00B146FE" w:rsidRPr="00CB78DD">
        <w:t xml:space="preserve"> deler ikke dekanens problemforståelse. De «problemene» forslaget er ment å skulle løse, oppfattes ikke som problemer fra </w:t>
      </w:r>
      <w:r w:rsidR="00D72566">
        <w:t>instituttets</w:t>
      </w:r>
      <w:r w:rsidR="00B146FE" w:rsidRPr="00CB78DD">
        <w:t xml:space="preserve"> side. </w:t>
      </w:r>
      <w:r w:rsidR="004A0646" w:rsidRPr="00CB78DD">
        <w:t>I</w:t>
      </w:r>
      <w:r w:rsidR="00D72566">
        <w:t>nstituttet</w:t>
      </w:r>
      <w:r w:rsidR="004A0646" w:rsidRPr="00CB78DD">
        <w:t xml:space="preserve"> mener </w:t>
      </w:r>
      <w:r w:rsidR="00B146FE" w:rsidRPr="00CB78DD">
        <w:t>ingen av de faglige, organisatoriske, økonomiske, administrative, arbeidsrettslige eller instituttstrategiske problemstillingene knyttet til forslaget</w:t>
      </w:r>
      <w:r w:rsidR="00F52407">
        <w:t>,</w:t>
      </w:r>
      <w:r w:rsidR="00B146FE" w:rsidRPr="00CB78DD">
        <w:t xml:space="preserve"> er reist, langt mindre utredet og besvart, i dekanens notat. </w:t>
      </w:r>
      <w:r w:rsidR="004A0646" w:rsidRPr="00CB78DD">
        <w:t>I</w:t>
      </w:r>
      <w:r w:rsidR="00D72566">
        <w:t>nstituttet</w:t>
      </w:r>
      <w:r w:rsidR="004A0646" w:rsidRPr="00CB78DD">
        <w:t xml:space="preserve"> mener d</w:t>
      </w:r>
      <w:r w:rsidR="00B146FE" w:rsidRPr="00CB78DD">
        <w:t>e høyst reelle problemene knyttet til driften av ARENA (manglende sluttdato, for høyt aktivitetsnivå i forhold til tilgjengelige ressurser, samt svak administrativ integrasjon</w:t>
      </w:r>
      <w:r w:rsidR="004A0646" w:rsidRPr="00CB78DD">
        <w:t xml:space="preserve"> i fakultetets organisasjon) </w:t>
      </w:r>
      <w:r w:rsidR="00B146FE" w:rsidRPr="00CB78DD">
        <w:t>ikke</w:t>
      </w:r>
      <w:r w:rsidR="004A0646" w:rsidRPr="00CB78DD">
        <w:t xml:space="preserve"> </w:t>
      </w:r>
      <w:r w:rsidR="007C7646" w:rsidRPr="00CB78DD">
        <w:t>kan løses</w:t>
      </w:r>
      <w:r w:rsidR="00B146FE" w:rsidRPr="00CB78DD">
        <w:t xml:space="preserve"> av </w:t>
      </w:r>
      <w:r w:rsidR="00D72566">
        <w:t>instituttet</w:t>
      </w:r>
      <w:r w:rsidR="00B146FE" w:rsidRPr="00CB78DD">
        <w:t xml:space="preserve">, men må håndteres av fakultetsstyret, dekan og fakultetsdirektør. </w:t>
      </w:r>
    </w:p>
    <w:p w14:paraId="14F5369E" w14:textId="77777777" w:rsidR="00B146FE" w:rsidRPr="00CB78DD" w:rsidRDefault="00B146FE" w:rsidP="0070206C">
      <w:pPr>
        <w:pStyle w:val="Heading2"/>
      </w:pPr>
      <w:r w:rsidRPr="00CB78DD">
        <w:t>Økonomisk institutt</w:t>
      </w:r>
    </w:p>
    <w:p w14:paraId="1E3D197A" w14:textId="77777777" w:rsidR="00B146FE" w:rsidRPr="00CB78DD" w:rsidRDefault="000A3ECB" w:rsidP="0070206C">
      <w:pPr>
        <w:pStyle w:val="BodyText"/>
      </w:pPr>
      <w:r w:rsidRPr="00CB78DD">
        <w:t>Økonomisk institutt s</w:t>
      </w:r>
      <w:r w:rsidR="004A0646" w:rsidRPr="00CB78DD">
        <w:t xml:space="preserve">kriver </w:t>
      </w:r>
      <w:r w:rsidRPr="00CB78DD">
        <w:t xml:space="preserve">at </w:t>
      </w:r>
      <w:r w:rsidR="004A0646" w:rsidRPr="00CB78DD">
        <w:t xml:space="preserve">de har </w:t>
      </w:r>
      <w:r w:rsidR="00B146FE" w:rsidRPr="00CB78DD">
        <w:t>begrenset kjennskap til forholdene ved TIK og A</w:t>
      </w:r>
      <w:r w:rsidR="00F52407">
        <w:t>RENA</w:t>
      </w:r>
      <w:r w:rsidR="00B146FE" w:rsidRPr="00CB78DD">
        <w:t>, og for hvordan disse sentrene passer i</w:t>
      </w:r>
      <w:r w:rsidR="00F52407">
        <w:t>nn i henholdsvis</w:t>
      </w:r>
      <w:r w:rsidR="00B146FE" w:rsidRPr="00CB78DD">
        <w:t xml:space="preserve"> Sosialantropologisk institutt og Institutt for statsvitenskap. </w:t>
      </w:r>
      <w:r w:rsidR="004A0646" w:rsidRPr="00CB78DD">
        <w:t xml:space="preserve">ØI ønsker </w:t>
      </w:r>
      <w:r w:rsidR="00B146FE" w:rsidRPr="00CB78DD">
        <w:t xml:space="preserve">derfor ikke </w:t>
      </w:r>
      <w:r w:rsidR="004A0646" w:rsidRPr="00CB78DD">
        <w:t xml:space="preserve">å </w:t>
      </w:r>
      <w:r w:rsidR="00B146FE" w:rsidRPr="00CB78DD">
        <w:t xml:space="preserve">komme med noen samlet vurdering av forslagene. </w:t>
      </w:r>
    </w:p>
    <w:p w14:paraId="29071B23" w14:textId="77777777" w:rsidR="00B146FE" w:rsidRPr="00CB78DD" w:rsidRDefault="00B146FE" w:rsidP="0070206C">
      <w:pPr>
        <w:pStyle w:val="BodyText"/>
        <w:rPr>
          <w:color w:val="2E74B5"/>
          <w:sz w:val="26"/>
          <w:szCs w:val="26"/>
        </w:rPr>
      </w:pPr>
      <w:r w:rsidRPr="00CB78DD">
        <w:t>Sammenslåing av et institutt og</w:t>
      </w:r>
      <w:r w:rsidR="004A0646" w:rsidRPr="00CB78DD">
        <w:t xml:space="preserve"> et eksternt senter reiser også, etter ØIs vurdering </w:t>
      </w:r>
      <w:r w:rsidRPr="00CB78DD">
        <w:t>viktige prinsipielle spørsmål. For instituttet kan dette innebære en rekke ulike utfordringer, bl</w:t>
      </w:r>
      <w:r w:rsidR="00F52407">
        <w:t>ant annet</w:t>
      </w:r>
      <w:r w:rsidRPr="00CB78DD">
        <w:t xml:space="preserve"> knyttet til ansettelseskriterier o</w:t>
      </w:r>
      <w:r w:rsidR="00F52407">
        <w:t>g</w:t>
      </w:r>
      <w:r w:rsidRPr="00CB78DD">
        <w:t xml:space="preserve"> finansiering. Hvis senterets finansiering svikter, vil dette ramme instituttet, og det kan dermed få betydelige negative virkninger på undervisning og forskning i fagdisiplinen. I dagens situasjon kan TIK og ARENA redusere staben ved å si opp enkeltforskere dersom finansieringen uteblir. Dette </w:t>
      </w:r>
      <w:r w:rsidRPr="00CB78DD">
        <w:lastRenderedPageBreak/>
        <w:t>vil</w:t>
      </w:r>
      <w:r w:rsidR="004A0646" w:rsidRPr="00CB78DD">
        <w:t xml:space="preserve"> etter ØIs vurdering</w:t>
      </w:r>
      <w:r w:rsidRPr="00CB78DD">
        <w:t xml:space="preserve"> være mye vanskeligere dersom de ansatte har vanlige kombinerte forsknings- og undervisningsstillinger tilknyttet et institutt</w:t>
      </w:r>
      <w:r w:rsidR="00716E74" w:rsidRPr="00CB78DD">
        <w:t>.</w:t>
      </w:r>
    </w:p>
    <w:p w14:paraId="10A8E1F0" w14:textId="77777777" w:rsidR="00B146FE" w:rsidRPr="00CB78DD" w:rsidRDefault="00B146FE" w:rsidP="0070206C">
      <w:pPr>
        <w:pStyle w:val="Heading2"/>
      </w:pPr>
      <w:r w:rsidRPr="00CB78DD">
        <w:t>Psykologisk institutt</w:t>
      </w:r>
    </w:p>
    <w:p w14:paraId="39F06DF5" w14:textId="77777777" w:rsidR="00B146FE" w:rsidRPr="00CB78DD" w:rsidRDefault="000A3ECB" w:rsidP="0070206C">
      <w:pPr>
        <w:pStyle w:val="BodyText"/>
      </w:pPr>
      <w:r w:rsidRPr="00CB78DD">
        <w:t>Psykologisk institutt</w:t>
      </w:r>
      <w:r w:rsidR="009F4E58" w:rsidRPr="00CB78DD">
        <w:t xml:space="preserve"> mener det å </w:t>
      </w:r>
      <w:r w:rsidR="004A0646" w:rsidRPr="00CB78DD">
        <w:t>v</w:t>
      </w:r>
      <w:r w:rsidR="00B146FE" w:rsidRPr="00CB78DD">
        <w:t>ære en enhet av en viss størrelse og med en sammensatt aktivitet (både forskningsmessig og undervisningsmessig)</w:t>
      </w:r>
      <w:r w:rsidR="00F52407">
        <w:t>,</w:t>
      </w:r>
      <w:r w:rsidR="00B146FE" w:rsidRPr="00CB78DD">
        <w:t xml:space="preserve"> har noen store fordeler: </w:t>
      </w:r>
    </w:p>
    <w:p w14:paraId="57B72B91" w14:textId="6CA3419B" w:rsidR="00B146FE" w:rsidRPr="00CB78DD" w:rsidRDefault="00B146FE" w:rsidP="0070206C">
      <w:pPr>
        <w:pStyle w:val="ListBullet"/>
      </w:pPr>
      <w:r w:rsidRPr="00CB78DD">
        <w:t>Robust økonomi: Med et sammensatt finansieringsgrunnlag som henter finansiering fra alle komponenter i faku</w:t>
      </w:r>
      <w:r w:rsidR="004A0646" w:rsidRPr="00CB78DD">
        <w:t xml:space="preserve">ltetets finansieringsmodell, </w:t>
      </w:r>
      <w:r w:rsidR="00F52407">
        <w:t>blir</w:t>
      </w:r>
      <w:r w:rsidR="004A0646" w:rsidRPr="00CB78DD">
        <w:t xml:space="preserve"> </w:t>
      </w:r>
      <w:r w:rsidRPr="00CB78DD">
        <w:t xml:space="preserve">man mindre sårbar for svingninger i for eksempel tildeling av eksterne forskningsmidler eller gjennomstrømning på studieprogrammene. Med en større økonomi </w:t>
      </w:r>
      <w:r w:rsidR="00F52407">
        <w:t>er</w:t>
      </w:r>
      <w:r w:rsidRPr="00CB78DD">
        <w:t xml:space="preserve"> det dessuten</w:t>
      </w:r>
      <w:r w:rsidR="004A0646" w:rsidRPr="00CB78DD">
        <w:t xml:space="preserve"> </w:t>
      </w:r>
      <w:r w:rsidRPr="00CB78DD">
        <w:t>lettere å tilpasse seg økonomiske svingninger</w:t>
      </w:r>
      <w:r w:rsidR="00F52407">
        <w:t>,</w:t>
      </w:r>
      <w:r w:rsidRPr="00CB78DD">
        <w:t xml:space="preserve"> og man har større handlingsrom til å foreta økonomiske justeringer når det er nødvendig</w:t>
      </w:r>
      <w:r w:rsidR="00F52407">
        <w:t>.</w:t>
      </w:r>
    </w:p>
    <w:p w14:paraId="290F322B" w14:textId="77777777" w:rsidR="00B146FE" w:rsidRPr="00CB78DD" w:rsidRDefault="00B146FE" w:rsidP="0070206C">
      <w:pPr>
        <w:pStyle w:val="ListBullet"/>
      </w:pPr>
      <w:r w:rsidRPr="00CB78DD">
        <w:t xml:space="preserve">En større, mer spesialisert og mer robust administrasjon: Med flere ressurser </w:t>
      </w:r>
      <w:r w:rsidR="004A0646" w:rsidRPr="00CB78DD">
        <w:t>å spille på i administrasjonen</w:t>
      </w:r>
      <w:r w:rsidR="00F52407">
        <w:t>, vil</w:t>
      </w:r>
      <w:r w:rsidR="004A0646" w:rsidRPr="00CB78DD">
        <w:t xml:space="preserve"> </w:t>
      </w:r>
      <w:r w:rsidRPr="00CB78DD">
        <w:t xml:space="preserve">man foruten stordriftsfordeler også få muligheten til større grad av spesialisering og dermed bedre støttefunksjoner. </w:t>
      </w:r>
    </w:p>
    <w:p w14:paraId="0E55017C" w14:textId="1786C911" w:rsidR="00B146FE" w:rsidRPr="0070206C" w:rsidRDefault="00B146FE" w:rsidP="0070206C">
      <w:pPr>
        <w:pStyle w:val="ListBullet"/>
      </w:pPr>
      <w:r w:rsidRPr="00CB78DD">
        <w:t xml:space="preserve">Økt faglig virksomhet av høy kvalitet: </w:t>
      </w:r>
      <w:r w:rsidR="00471A58">
        <w:t>Instituttets</w:t>
      </w:r>
      <w:r w:rsidRPr="00CB78DD">
        <w:t xml:space="preserve"> sentre har konkurrert seg til ekstern finansiering i form tildeling av ERCer, H2020-SC koordinatorprosjekt, verdensledende miljø, SFF og NFR-miljøstøtte. Dette indikerer høy kvalitet. Ved å inkludere denne type virksomhet i instituttet</w:t>
      </w:r>
      <w:r w:rsidR="00F52407">
        <w:t xml:space="preserve">, </w:t>
      </w:r>
      <w:r w:rsidR="004A0646" w:rsidRPr="00CB78DD">
        <w:t>har</w:t>
      </w:r>
      <w:r w:rsidR="00F52407">
        <w:t xml:space="preserve"> man</w:t>
      </w:r>
      <w:r w:rsidR="004A0646" w:rsidRPr="00CB78DD">
        <w:t xml:space="preserve"> </w:t>
      </w:r>
      <w:r w:rsidRPr="00CB78DD">
        <w:t xml:space="preserve">inspirert andre til tilsvarende faglig virke av høy kvalitet. Mange har sett og lært og har tilsvarende planer for å øke sin forskning av høy kvalitet. Den eksternt finansierte fremragende forskningen i sentrene har også finansiert infrastruktur og medført andre ressurser (f. eks. finansielle) som har vært tilgjengeliggjort for satsinger ellers i fagmiljøet. </w:t>
      </w:r>
    </w:p>
    <w:p w14:paraId="6E26B987" w14:textId="77777777" w:rsidR="00B146FE" w:rsidRPr="00CB78DD" w:rsidRDefault="00B146FE" w:rsidP="0070206C">
      <w:pPr>
        <w:pStyle w:val="Heading2"/>
      </w:pPr>
      <w:r w:rsidRPr="00CB78DD">
        <w:t>Sosialantropologisk institutt</w:t>
      </w:r>
    </w:p>
    <w:p w14:paraId="5EA854D2" w14:textId="6C8CA890" w:rsidR="00B164CC" w:rsidRPr="00CB78DD" w:rsidRDefault="000A3ECB" w:rsidP="0070206C">
      <w:pPr>
        <w:pStyle w:val="BodyText"/>
      </w:pPr>
      <w:r w:rsidRPr="00CB78DD">
        <w:t xml:space="preserve">Sosialantropologisk institutt </w:t>
      </w:r>
      <w:r w:rsidR="00B146FE" w:rsidRPr="00CB78DD">
        <w:t xml:space="preserve">er positiv til de overordnede behovene for UiO i form av økt tverrfaglighet og frigjøring av ressurser ved reelle synergieffekter av samarbeid. </w:t>
      </w:r>
      <w:r w:rsidR="00471A58">
        <w:t>Instituttet</w:t>
      </w:r>
      <w:r w:rsidR="00B146FE" w:rsidRPr="00CB78DD">
        <w:t xml:space="preserve"> er derimot svært uenige i både problemforståelsen som ligger til grunn for omorganisering, og de påståtte gevinstene som følge av dette. </w:t>
      </w:r>
    </w:p>
    <w:p w14:paraId="7ACAE1F7" w14:textId="267AAE3F" w:rsidR="00B146FE" w:rsidRPr="00CB78DD" w:rsidRDefault="00471A58" w:rsidP="0070206C">
      <w:pPr>
        <w:pStyle w:val="BodyText"/>
      </w:pPr>
      <w:r>
        <w:t>Instituttet</w:t>
      </w:r>
      <w:r w:rsidR="000A3ECB" w:rsidRPr="00CB78DD">
        <w:t xml:space="preserve"> mener at det er</w:t>
      </w:r>
      <w:r w:rsidR="00B146FE" w:rsidRPr="00CB78DD">
        <w:t xml:space="preserve"> begrenset hva en høringsuttalelse kan svare på, all den tid notatet ikke inneholder de detaljer som vil kreves for en reell konsekvensutredning. Hvis </w:t>
      </w:r>
      <w:r>
        <w:t xml:space="preserve">instituttet </w:t>
      </w:r>
      <w:r w:rsidR="00B146FE" w:rsidRPr="00CB78DD">
        <w:t>skal ta ytterligere stilling til følgene</w:t>
      </w:r>
      <w:r w:rsidR="009F4E58" w:rsidRPr="00CB78DD">
        <w:t xml:space="preserve"> av å legge TIK inn under </w:t>
      </w:r>
      <w:r>
        <w:t>instituttet</w:t>
      </w:r>
      <w:r w:rsidR="0070206C">
        <w:t>,</w:t>
      </w:r>
      <w:r w:rsidR="009F4E58" w:rsidRPr="00CB78DD">
        <w:t xml:space="preserve"> så </w:t>
      </w:r>
      <w:r>
        <w:t>er det for</w:t>
      </w:r>
      <w:r w:rsidR="00B146FE" w:rsidRPr="00CB78DD">
        <w:t xml:space="preserve"> det første nødvendig med informasjon som fakultetet på det nåværende tidspunkt ikke har redegjort for. Om en omorganisering likevel ansees som den beste løsning, må </w:t>
      </w:r>
      <w:r>
        <w:t>instituttet</w:t>
      </w:r>
      <w:r w:rsidR="00B146FE" w:rsidRPr="00CB78DD">
        <w:t xml:space="preserve"> be om tilstr</w:t>
      </w:r>
      <w:r w:rsidR="009F4E58" w:rsidRPr="00CB78DD">
        <w:t>ekkelig informasjon som gjør de</w:t>
      </w:r>
      <w:r>
        <w:t>t</w:t>
      </w:r>
      <w:r w:rsidR="00B146FE" w:rsidRPr="00CB78DD">
        <w:t xml:space="preserve"> i stand til å gjennomføre en konsekvensutredning som tar hensyn til arbeidstakernes </w:t>
      </w:r>
      <w:r w:rsidR="00B146FE" w:rsidRPr="00CB78DD">
        <w:lastRenderedPageBreak/>
        <w:t>rettigheter og muliggjør en reell vurdering av hvordan en s</w:t>
      </w:r>
      <w:r w:rsidR="009F4E58" w:rsidRPr="00CB78DD">
        <w:t xml:space="preserve">lik omorganisering vil påvirke </w:t>
      </w:r>
      <w:r>
        <w:t>instituttet</w:t>
      </w:r>
      <w:r w:rsidR="009F4E58" w:rsidRPr="00CB78DD">
        <w:t>s</w:t>
      </w:r>
      <w:r w:rsidR="00B146FE" w:rsidRPr="00CB78DD">
        <w:t xml:space="preserve"> pågående arbeid med å videreutvikle både et internasjonalt konkurransedyktig forskningsmiljø og god undervisning. Denne prosessen må løftes opp på forhandlingsnivå</w:t>
      </w:r>
      <w:r w:rsidR="0070206C">
        <w:t>,</w:t>
      </w:r>
      <w:r w:rsidR="00B146FE" w:rsidRPr="00CB78DD">
        <w:t xml:space="preserve"> og vil kreve en ny runde med høringsuttalelser.</w:t>
      </w:r>
    </w:p>
    <w:p w14:paraId="76416481" w14:textId="062C6AAF" w:rsidR="00B146FE" w:rsidRPr="0070206C" w:rsidRDefault="009F4E58" w:rsidP="0070206C">
      <w:pPr>
        <w:pStyle w:val="BodyText"/>
      </w:pPr>
      <w:r w:rsidRPr="00CB78DD">
        <w:t xml:space="preserve">Avslutningsvis vil </w:t>
      </w:r>
      <w:r w:rsidR="00471A58">
        <w:t xml:space="preserve">instituttet </w:t>
      </w:r>
      <w:r w:rsidR="00B146FE" w:rsidRPr="00CB78DD">
        <w:t xml:space="preserve">poengtere at denne prosessen så langt har skapt friksjon og uro innad </w:t>
      </w:r>
      <w:r w:rsidR="00471A58">
        <w:t>på instituttet</w:t>
      </w:r>
      <w:r w:rsidR="00B146FE" w:rsidRPr="00CB78DD">
        <w:t xml:space="preserve"> på måter som på kort sikt gjør daglig drift mer komplisert enn nødvendig. </w:t>
      </w:r>
      <w:r w:rsidR="00471A58">
        <w:t>Instituttets</w:t>
      </w:r>
      <w:r w:rsidR="00B146FE" w:rsidRPr="00CB78DD">
        <w:t xml:space="preserve"> styre stiller seg unisont bak et ønske om å beholde den nåværende strukturen</w:t>
      </w:r>
      <w:r w:rsidR="0070206C">
        <w:t>,</w:t>
      </w:r>
      <w:r w:rsidR="00B146FE" w:rsidRPr="00CB78DD">
        <w:t xml:space="preserve"> og ber fakultetsledelsen utforske andre grep for å eventuelt styrke de prosessene som ligger bak ønsket om en omstrukturering av relasjonen mellom instituttene og sentrene ved fakultetet.</w:t>
      </w:r>
    </w:p>
    <w:p w14:paraId="1AF57884" w14:textId="25FD9039" w:rsidR="005A3185" w:rsidRPr="00B6313D" w:rsidRDefault="00DA31F4" w:rsidP="00B6313D">
      <w:pPr>
        <w:pStyle w:val="Heading2"/>
      </w:pPr>
      <w:r>
        <w:t xml:space="preserve">TIK </w:t>
      </w:r>
      <w:r w:rsidR="00B146FE" w:rsidRPr="00CB78DD">
        <w:t>Senter for teknologi, innovasjon og kultur</w:t>
      </w:r>
    </w:p>
    <w:p w14:paraId="3873071C" w14:textId="3DF5A57E" w:rsidR="00B146FE" w:rsidRPr="00CB78DD" w:rsidRDefault="008F47CB" w:rsidP="0070206C">
      <w:pPr>
        <w:pStyle w:val="BodyText"/>
      </w:pPr>
      <w:r>
        <w:t>F</w:t>
      </w:r>
      <w:r w:rsidR="00B146FE" w:rsidRPr="00CB78DD">
        <w:t xml:space="preserve">orslaget begrunnes i kommende retningslinjer for senterpolitikk ved UiO som ikke vil være relevante for permanente enheter som TIK. Universitetsstyrets D-sak 3, møtenr. 2/2019, gjør det klart at dette er «Politikk for eksternfinansierte sentre ved UiO». Denne politikken </w:t>
      </w:r>
      <w:r>
        <w:t>er</w:t>
      </w:r>
      <w:r w:rsidR="00A500B3" w:rsidRPr="00CB78DD">
        <w:t xml:space="preserve"> </w:t>
      </w:r>
      <w:r w:rsidR="00B146FE" w:rsidRPr="00CB78DD">
        <w:t>fortsatt</w:t>
      </w:r>
      <w:r w:rsidR="00A500B3" w:rsidRPr="00CB78DD">
        <w:t xml:space="preserve"> </w:t>
      </w:r>
      <w:r w:rsidR="00B146FE" w:rsidRPr="00CB78DD">
        <w:t>under utarbeidelse og kan ikke brukes som vedtaksgrunnlag.</w:t>
      </w:r>
    </w:p>
    <w:p w14:paraId="7084D41F" w14:textId="52AA300C" w:rsidR="00B146FE" w:rsidRPr="00CB78DD" w:rsidRDefault="00B146FE" w:rsidP="0070206C">
      <w:pPr>
        <w:pStyle w:val="BodyText"/>
      </w:pPr>
      <w:r w:rsidRPr="00CB78DD">
        <w:t>Ved å ivareta sitt mandat</w:t>
      </w:r>
      <w:r w:rsidR="008F47CB">
        <w:t>,</w:t>
      </w:r>
      <w:r w:rsidRPr="00CB78DD">
        <w:t xml:space="preserve"> </w:t>
      </w:r>
      <w:r w:rsidR="008F47CB">
        <w:t>bidrar</w:t>
      </w:r>
      <w:r w:rsidR="005A3185" w:rsidRPr="00CB78DD">
        <w:t xml:space="preserve"> TIK </w:t>
      </w:r>
      <w:r w:rsidRPr="00CB78DD">
        <w:t xml:space="preserve">til å realisere UiOs mål om grensesprengende og tverrfaglig forskning, utdanning og formidling. </w:t>
      </w:r>
      <w:r w:rsidR="005A3185" w:rsidRPr="00CB78DD">
        <w:t>TIK</w:t>
      </w:r>
      <w:r w:rsidRPr="00CB78DD">
        <w:t xml:space="preserve"> frykter at utøvelsen av det tverrfaglige mandatet vil bli svært krevende dersom TIK blir en del av et disiplinært institutt.</w:t>
      </w:r>
    </w:p>
    <w:p w14:paraId="1FEBB8FC" w14:textId="7C6D4DEA" w:rsidR="00B146FE" w:rsidRPr="00CB78DD" w:rsidRDefault="008F47CB" w:rsidP="0070206C">
      <w:pPr>
        <w:pStyle w:val="BodyText"/>
      </w:pPr>
      <w:r>
        <w:t>F</w:t>
      </w:r>
      <w:r w:rsidR="00B146FE" w:rsidRPr="00CB78DD">
        <w:t xml:space="preserve">orslaget synliggjør en grunnleggende spenning mellom disiplinær og tverrfaglig forskning og utdanning. </w:t>
      </w:r>
      <w:hyperlink r:id="rId8" w:history="1">
        <w:r w:rsidR="00B146FE" w:rsidRPr="00CB78DD">
          <w:t>Forskningsrådets internasjonale ekspertkomité</w:t>
        </w:r>
      </w:hyperlink>
      <w:r w:rsidR="00B146FE" w:rsidRPr="00CB78DD">
        <w:t xml:space="preserve"> påpekte nylig at norske universiteters organisasjonsmodell, med disiplinbaserte fakulteter og institutter, er til direkte hinder for å oppnå vedtatte politiske mål om økt tverrfaglighet. TIK-senteret er et eksempel på at dette faktisk er mulig å få til, og </w:t>
      </w:r>
      <w:r w:rsidR="00C16ABE" w:rsidRPr="00CB78DD">
        <w:t>TIK vil</w:t>
      </w:r>
      <w:r w:rsidR="00B146FE" w:rsidRPr="00CB78DD">
        <w:t xml:space="preserve"> bidra</w:t>
      </w:r>
      <w:r w:rsidR="00C16ABE" w:rsidRPr="00CB78DD">
        <w:t xml:space="preserve"> til å ytterligere å forsterke f</w:t>
      </w:r>
      <w:r w:rsidR="00B146FE" w:rsidRPr="00CB78DD">
        <w:t>akultetets tverrfaglige profil.</w:t>
      </w:r>
    </w:p>
    <w:p w14:paraId="5C25E640" w14:textId="30A0B990" w:rsidR="00B146FE" w:rsidRPr="00CB78DD" w:rsidRDefault="00B146FE" w:rsidP="0070206C">
      <w:pPr>
        <w:pStyle w:val="BodyText"/>
      </w:pPr>
      <w:r w:rsidRPr="00CB78DD">
        <w:t>TIK og SAI har få faglige berøringspunkter</w:t>
      </w:r>
      <w:r w:rsidR="008F47CB">
        <w:t>,</w:t>
      </w:r>
      <w:r w:rsidRPr="00CB78DD">
        <w:t xml:space="preserve"> og en matriseløsning vil pulverisere TIKs tverrfaglige institusjon som er bygget opp over lang tid, og som </w:t>
      </w:r>
      <w:r w:rsidR="008F47CB">
        <w:t>man</w:t>
      </w:r>
      <w:r w:rsidRPr="00CB78DD">
        <w:t xml:space="preserve"> nå høster fruktene av gjennom solid tilstrømning av studenter og eksterne prosjekter.</w:t>
      </w:r>
    </w:p>
    <w:p w14:paraId="38EE201A" w14:textId="42CB23B0" w:rsidR="00B146FE" w:rsidRPr="00CB78DD" w:rsidRDefault="008F47CB" w:rsidP="0070206C">
      <w:pPr>
        <w:pStyle w:val="BodyText"/>
      </w:pPr>
      <w:r>
        <w:t>F</w:t>
      </w:r>
      <w:r w:rsidR="00B146FE" w:rsidRPr="00CB78DD">
        <w:t>orslaget om å endr</w:t>
      </w:r>
      <w:r w:rsidR="009F4E58" w:rsidRPr="00CB78DD">
        <w:t xml:space="preserve">e TIKs organisatoriske struktur </w:t>
      </w:r>
      <w:r w:rsidR="00B146FE" w:rsidRPr="00CB78DD">
        <w:t xml:space="preserve">er basert på svake økonomisk-administrative argumenter. </w:t>
      </w:r>
      <w:r>
        <w:t>M</w:t>
      </w:r>
      <w:r w:rsidR="009F4E58" w:rsidRPr="00CB78DD">
        <w:t xml:space="preserve">ulige gevinster </w:t>
      </w:r>
      <w:r>
        <w:t xml:space="preserve">vil </w:t>
      </w:r>
      <w:r w:rsidR="00B146FE" w:rsidRPr="00CB78DD">
        <w:t>ikke</w:t>
      </w:r>
      <w:r w:rsidR="009F4E58" w:rsidRPr="00CB78DD">
        <w:t xml:space="preserve"> </w:t>
      </w:r>
      <w:r w:rsidR="00B146FE" w:rsidRPr="00CB78DD">
        <w:t xml:space="preserve">kunne veie opp for de faglige omkostningene forslaget innebærer. </w:t>
      </w:r>
      <w:r>
        <w:t>E</w:t>
      </w:r>
      <w:r w:rsidR="00B146FE" w:rsidRPr="00CB78DD">
        <w:t>n slik organisatorisk endring vil nødvendigvis ha negative konsekvenser for det vitenskapelige omdømmet til TIK og flere enheter på fakultetet, og vil medføre betydelig uro blant studenter og ansatte.</w:t>
      </w:r>
    </w:p>
    <w:p w14:paraId="4B217C15" w14:textId="0F478D62" w:rsidR="00B146FE" w:rsidRPr="008F47CB" w:rsidRDefault="00B146FE" w:rsidP="008F47CB">
      <w:pPr>
        <w:pStyle w:val="BodyText"/>
      </w:pPr>
      <w:r w:rsidRPr="00CB78DD">
        <w:t xml:space="preserve">TIK-senteret er et forsknings- og utdanningsmiljø med mer enn 60 studenter og 30 doktorgradsstipendiater. </w:t>
      </w:r>
      <w:r w:rsidR="008F47CB">
        <w:t>D</w:t>
      </w:r>
      <w:r w:rsidRPr="00CB78DD">
        <w:t>et er ikke tatt hensyn til studen</w:t>
      </w:r>
      <w:r w:rsidRPr="00CB78DD">
        <w:lastRenderedPageBreak/>
        <w:t xml:space="preserve">tenes perspektiv og de omfattende konsekvenser forslaget vil ha for utdanningsprogrammene og studentene. TIKs utdanningstilbud er svært ettertraktet på grunn av sin tverrfaglighet, og den institusjonelle autonomien forsterker muligheten for tett integrering av forskning og utdanning. </w:t>
      </w:r>
      <w:r w:rsidR="00A500B3" w:rsidRPr="00CB78DD">
        <w:t>TIK</w:t>
      </w:r>
      <w:r w:rsidRPr="00CB78DD">
        <w:t xml:space="preserve"> frykter derfor at forslaget vil bryte ned et svært godt undervisningstilbud.</w:t>
      </w:r>
    </w:p>
    <w:p w14:paraId="09A1AC24" w14:textId="562F6206" w:rsidR="003D561F" w:rsidRPr="00B6313D" w:rsidRDefault="00B146FE" w:rsidP="003D561F">
      <w:pPr>
        <w:spacing w:after="0" w:line="240" w:lineRule="auto"/>
        <w:rPr>
          <w:rFonts w:ascii="Times New Roman" w:hAnsi="Times New Roman"/>
          <w:sz w:val="24"/>
          <w:szCs w:val="24"/>
        </w:rPr>
      </w:pPr>
      <w:r w:rsidRPr="00CB78DD">
        <w:rPr>
          <w:rFonts w:ascii="Times New Roman" w:hAnsi="Times New Roman"/>
          <w:sz w:val="24"/>
          <w:szCs w:val="24"/>
        </w:rPr>
        <w:t>På dette grunnlaget ber TIK fakultetsstyret om å avvise denne prosessen nå.</w:t>
      </w:r>
    </w:p>
    <w:p w14:paraId="1A558FFC" w14:textId="77777777" w:rsidR="00B146FE" w:rsidRPr="00CB78DD" w:rsidRDefault="00B146FE" w:rsidP="001A0292">
      <w:pPr>
        <w:pStyle w:val="Heading2"/>
      </w:pPr>
      <w:r w:rsidRPr="00CB78DD">
        <w:t>Studentene på TIK</w:t>
      </w:r>
    </w:p>
    <w:p w14:paraId="5F818525" w14:textId="77777777" w:rsidR="00B146FE" w:rsidRPr="00CB78DD" w:rsidRDefault="00B146FE" w:rsidP="001A0292">
      <w:pPr>
        <w:pStyle w:val="BodyText"/>
      </w:pPr>
      <w:r w:rsidRPr="00CB78DD">
        <w:t xml:space="preserve">Høringsuttalelsen er skrevet på vegne av alle masterstudentene ved TIK-senteret, og </w:t>
      </w:r>
      <w:r w:rsidR="00A500B3" w:rsidRPr="00CB78DD">
        <w:t>studentene</w:t>
      </w:r>
      <w:r w:rsidRPr="00CB78DD">
        <w:t xml:space="preserve"> ber</w:t>
      </w:r>
      <w:r w:rsidR="0013093A" w:rsidRPr="00CB78DD">
        <w:t xml:space="preserve"> </w:t>
      </w:r>
      <w:r w:rsidRPr="00CB78DD">
        <w:rPr>
          <w:bCs/>
        </w:rPr>
        <w:t>fakultetsstyret om å avvise prosessen.</w:t>
      </w:r>
    </w:p>
    <w:p w14:paraId="06DDCB0A" w14:textId="13899080" w:rsidR="00CB78DD" w:rsidRDefault="009F4E58" w:rsidP="001A0292">
      <w:pPr>
        <w:pStyle w:val="BodyText"/>
      </w:pPr>
      <w:r w:rsidRPr="00CB78DD">
        <w:t>Studentene mener d</w:t>
      </w:r>
      <w:r w:rsidR="00B146FE" w:rsidRPr="00CB78DD">
        <w:t xml:space="preserve">et er kritikkverdig i denne prosessen at endring er foreslått vedtatt uten prosess. </w:t>
      </w:r>
      <w:r w:rsidRPr="00CB78DD">
        <w:t xml:space="preserve">De mener også at høringsrunden </w:t>
      </w:r>
      <w:r w:rsidR="00B146FE" w:rsidRPr="00CB78DD">
        <w:t xml:space="preserve">heller ikke </w:t>
      </w:r>
      <w:r w:rsidRPr="00CB78DD">
        <w:t xml:space="preserve">er </w:t>
      </w:r>
      <w:r w:rsidR="00B146FE" w:rsidRPr="00CB78DD">
        <w:t xml:space="preserve">gjennomført på en tilfredsstillende måte. Studentene </w:t>
      </w:r>
      <w:r w:rsidRPr="00CB78DD">
        <w:t xml:space="preserve">mener de </w:t>
      </w:r>
      <w:r w:rsidR="00B146FE" w:rsidRPr="00CB78DD">
        <w:t>ikke</w:t>
      </w:r>
      <w:r w:rsidRPr="00CB78DD">
        <w:t xml:space="preserve"> har </w:t>
      </w:r>
      <w:r w:rsidR="00B146FE" w:rsidRPr="00CB78DD">
        <w:t>blitt tilstrekkelig informert</w:t>
      </w:r>
      <w:r w:rsidR="001A0292">
        <w:t>,</w:t>
      </w:r>
      <w:r w:rsidR="00B146FE" w:rsidRPr="00CB78DD">
        <w:t xml:space="preserve"> og relevante studentorganer har ikke blitt bedt om å komme med høringsuttalelse. </w:t>
      </w:r>
      <w:r w:rsidR="00A500B3" w:rsidRPr="00CB78DD">
        <w:t>Studentene på TIK</w:t>
      </w:r>
      <w:r w:rsidR="00B146FE" w:rsidRPr="00CB78DD">
        <w:t xml:space="preserve"> mener derfor at studentenes høringsrett ikke er ivaretatt (jf. Universitets- og høgskoleloven § 4-1). For eksempel blir ikke studenter nevnt, og ingen studentforeninger er satt opp som mottakere i brevet som ble</w:t>
      </w:r>
      <w:r w:rsidRPr="00CB78DD">
        <w:t xml:space="preserve"> </w:t>
      </w:r>
      <w:r w:rsidR="00B146FE" w:rsidRPr="00CB78DD">
        <w:t xml:space="preserve">sendt ut om høringsuttalelse fra dekanen. I tillegg mener </w:t>
      </w:r>
      <w:r w:rsidR="00A500B3" w:rsidRPr="00CB78DD">
        <w:t>studentene</w:t>
      </w:r>
      <w:r w:rsidR="00B146FE" w:rsidRPr="00CB78DD">
        <w:t xml:space="preserve"> at prosessen har gått alt for raskt, og uten reell mulighet for medvirkning. </w:t>
      </w:r>
      <w:r w:rsidR="00A500B3" w:rsidRPr="00CB78DD">
        <w:t>Studentene på TIK</w:t>
      </w:r>
      <w:r w:rsidR="00B146FE" w:rsidRPr="00CB78DD">
        <w:t xml:space="preserve"> ber derfor fakultetsstyret om å avvise prosessen.</w:t>
      </w:r>
    </w:p>
    <w:p w14:paraId="05C2F602" w14:textId="72D071C5" w:rsidR="00686ABD" w:rsidRDefault="001A0292" w:rsidP="001A0292">
      <w:pPr>
        <w:pStyle w:val="Heading1"/>
      </w:pPr>
      <w:r>
        <w:t xml:space="preserve">Nærmere om </w:t>
      </w:r>
      <w:r w:rsidR="00BA0D1A">
        <w:t xml:space="preserve">ARENA og </w:t>
      </w:r>
      <w:r w:rsidR="00686ABD" w:rsidRPr="00CB78DD">
        <w:t>TIK</w:t>
      </w:r>
    </w:p>
    <w:p w14:paraId="2364671F" w14:textId="594031E6" w:rsidR="00686ABD" w:rsidRPr="000340A4" w:rsidRDefault="00BA0D1A" w:rsidP="000340A4">
      <w:r>
        <w:t xml:space="preserve">Flere av høringsuttalelsene påpeker </w:t>
      </w:r>
      <w:r w:rsidR="000340A4">
        <w:t xml:space="preserve">nødvendigheten av </w:t>
      </w:r>
      <w:r>
        <w:t xml:space="preserve">et bedre faktamessig grunnlag for </w:t>
      </w:r>
      <w:r w:rsidR="000340A4">
        <w:t>å kunne vurdere konsekvensene av en eventuell endret institusjonell innpasning av ARENA og TIK. I denne delen presenteres utfyl</w:t>
      </w:r>
      <w:r w:rsidR="00B6313D">
        <w:t>l</w:t>
      </w:r>
      <w:r w:rsidR="000340A4">
        <w:t>ende informasjon om sentrene.</w:t>
      </w:r>
    </w:p>
    <w:p w14:paraId="5DD4D32C" w14:textId="5BF70955" w:rsidR="00686ABD" w:rsidRPr="00CB78DD" w:rsidRDefault="00686ABD" w:rsidP="000340A4">
      <w:pPr>
        <w:pStyle w:val="Heading2"/>
      </w:pPr>
      <w:r w:rsidRPr="00CB78DD">
        <w:t>ARENA</w:t>
      </w:r>
    </w:p>
    <w:p w14:paraId="0E10FAC0" w14:textId="3CEBA81A" w:rsidR="00686ABD" w:rsidRPr="00CB78DD" w:rsidRDefault="00686ABD" w:rsidP="00A3325A">
      <w:pPr>
        <w:pStyle w:val="BodyText"/>
      </w:pPr>
      <w:r w:rsidRPr="00CB78DD">
        <w:t xml:space="preserve">Forskingsprogrammet ARENA (Advanced Research on the Europeanisation of the Nation-State) ble </w:t>
      </w:r>
      <w:r w:rsidR="000340A4">
        <w:t xml:space="preserve">i 1994 </w:t>
      </w:r>
      <w:r w:rsidRPr="00CB78DD">
        <w:t xml:space="preserve">opprettet </w:t>
      </w:r>
      <w:r w:rsidR="000340A4">
        <w:t xml:space="preserve">som et senter under </w:t>
      </w:r>
      <w:r w:rsidRPr="00CB78DD">
        <w:t>Norges forskningsråd etter initiativ fra Johan P. Olsen, som den gang var professor ved Universitetet i Bergen.</w:t>
      </w:r>
      <w:r w:rsidR="000340A4">
        <w:t xml:space="preserve"> </w:t>
      </w:r>
      <w:r w:rsidRPr="00CB78DD">
        <w:t>Målet for ARENA var å skape god forskning på politisk integrasjon i Europa og på hvilke konsekvenser den politiske integrasjonen i Europa har for Norge.</w:t>
      </w:r>
    </w:p>
    <w:p w14:paraId="39567503" w14:textId="78DD9A73" w:rsidR="00686ABD" w:rsidRDefault="00686ABD" w:rsidP="00A3325A">
      <w:pPr>
        <w:pStyle w:val="BodyText"/>
      </w:pPr>
      <w:r w:rsidRPr="00CB78DD">
        <w:t xml:space="preserve">ARENA ble i 2004 </w:t>
      </w:r>
      <w:r w:rsidR="000340A4">
        <w:t xml:space="preserve">en </w:t>
      </w:r>
      <w:r w:rsidRPr="00CB78DD">
        <w:t xml:space="preserve">del av Universitetet i Oslo som et senter for europaforskning under Det samfunnsvitenskapelige fakultetet. Siden den gang har ARENA videreutviklet forskningsprofilen. Forskningen ved senteret er i stor grad eksternt finansiert med penger fra Norges </w:t>
      </w:r>
      <w:r w:rsidR="004C2C49">
        <w:t>f</w:t>
      </w:r>
      <w:r w:rsidRPr="00CB78DD">
        <w:t>orskingsråd, departementene og de ulike forskningsprogrammene i EU.</w:t>
      </w:r>
      <w:r w:rsidR="004C2C49">
        <w:t xml:space="preserve"> </w:t>
      </w:r>
      <w:r w:rsidRPr="00CB78DD">
        <w:t>ARENA er i dag kjent som et av de sentrale forskningsfellesskapene når det gjelder kunnskap om de politiske endringsprosessene i Europa.</w:t>
      </w:r>
    </w:p>
    <w:p w14:paraId="740CFE9C" w14:textId="44C661FE" w:rsidR="00A3325A" w:rsidRDefault="00A3325A" w:rsidP="00A3325A">
      <w:pPr>
        <w:pStyle w:val="BodyText"/>
        <w:rPr>
          <w:rFonts w:ascii="Times New Roman" w:hAnsi="Times New Roman"/>
          <w:sz w:val="24"/>
          <w:szCs w:val="24"/>
        </w:rPr>
      </w:pPr>
      <w:r>
        <w:lastRenderedPageBreak/>
        <w:t xml:space="preserve">ARENA inngikk som forskergruppe </w:t>
      </w:r>
      <w:r w:rsidRPr="00CB78DD">
        <w:t>i evalueringen av samfunns</w:t>
      </w:r>
      <w:r>
        <w:t xml:space="preserve">vitenskapelig forskning i Norge </w:t>
      </w:r>
      <w:r w:rsidRPr="00CB78DD">
        <w:t>(SAMEVAL) i 2017</w:t>
      </w:r>
      <w:r>
        <w:t>-</w:t>
      </w:r>
      <w:r w:rsidRPr="00CB78DD">
        <w:t>18</w:t>
      </w:r>
      <w:r>
        <w:t xml:space="preserve"> i </w:t>
      </w:r>
      <w:r w:rsidRPr="00CB78DD">
        <w:t>fagp</w:t>
      </w:r>
      <w:r>
        <w:t>anelet for statsvitenskap og fikk for "overall assessment" karakteren 5 "excellent".</w:t>
      </w:r>
    </w:p>
    <w:p w14:paraId="0DAA8C91" w14:textId="2884BDDA" w:rsidR="00A55C48" w:rsidRDefault="00A55C48" w:rsidP="00A3325A">
      <w:pPr>
        <w:pStyle w:val="BodyText"/>
      </w:pPr>
      <w:r>
        <w:t xml:space="preserve">ARENA driver i </w:t>
      </w:r>
      <w:r w:rsidR="00945F8B">
        <w:t xml:space="preserve">all </w:t>
      </w:r>
      <w:r>
        <w:t xml:space="preserve">hovedsak forskning basert på prosjektinntekter og har ingen egne undervisningstilbud. </w:t>
      </w:r>
      <w:r w:rsidR="00606802">
        <w:t xml:space="preserve">De ansatte har ikke undervisningsplikt. </w:t>
      </w:r>
      <w:r>
        <w:t>ARENA deler</w:t>
      </w:r>
      <w:r w:rsidR="00945F8B">
        <w:t xml:space="preserve"> </w:t>
      </w:r>
      <w:r>
        <w:t xml:space="preserve">ut masterstipender, der studentene får arbeidsplass og veiledning ved senteret. ARENA </w:t>
      </w:r>
      <w:r w:rsidR="00945F8B">
        <w:t>koordinerer det EU-finansierte doktorgradsnettverket PLATO, med 15 doktorgradsstudenter.</w:t>
      </w:r>
      <w:r w:rsidR="00606802">
        <w:t xml:space="preserve"> De ansatte bidrar således med veiledning av master- og doktorgradsstudenter.</w:t>
      </w:r>
    </w:p>
    <w:p w14:paraId="454ABBF4" w14:textId="58BAB6C2" w:rsidR="004C2C49" w:rsidRDefault="004C2C49" w:rsidP="00A3325A">
      <w:pPr>
        <w:pStyle w:val="BodyText"/>
      </w:pPr>
      <w:r>
        <w:t>ARENA hadde pr. 1. oktober 2018 et samlet antall årsverk på 26, fordelt på åtte årsverk i vitenskapelige stillinger, 11 årsverk i rekrutteringsstillinger og seks årsverk i administra</w:t>
      </w:r>
      <w:r w:rsidR="00B6313D">
        <w:t>tive stillinger</w:t>
      </w:r>
      <w:r>
        <w:t xml:space="preserve"> (se </w:t>
      </w:r>
      <w:r w:rsidR="00D8380A">
        <w:fldChar w:fldCharType="begin"/>
      </w:r>
      <w:r w:rsidR="00D8380A">
        <w:instrText xml:space="preserve"> REF _Ref3282075 \h \*Lower </w:instrText>
      </w:r>
      <w:r w:rsidR="00D8380A">
        <w:fldChar w:fldCharType="separate"/>
      </w:r>
      <w:r w:rsidR="00334FA3">
        <w:t xml:space="preserve">tabell </w:t>
      </w:r>
      <w:r w:rsidR="00334FA3">
        <w:rPr>
          <w:noProof/>
        </w:rPr>
        <w:t>1</w:t>
      </w:r>
      <w:r w:rsidR="00D8380A">
        <w:fldChar w:fldCharType="end"/>
      </w:r>
      <w:r>
        <w:t xml:space="preserve">). Av </w:t>
      </w:r>
      <w:r w:rsidR="00B6313D">
        <w:t xml:space="preserve">disse var syv vitenskapelige årsverk og fire administrative årsverk i faste stillinger, mens ett vitenskapelig årsverk og to administrative årsverk var i midlertidige stillinger. Totalt var 11 årsverk i faste stillinger og 15 årsverk </w:t>
      </w:r>
      <w:r w:rsidR="00D8380A">
        <w:t xml:space="preserve">i </w:t>
      </w:r>
      <w:r w:rsidR="00B6313D">
        <w:t>midlertidige</w:t>
      </w:r>
      <w:r w:rsidR="00D8380A">
        <w:t xml:space="preserve"> stillinger</w:t>
      </w:r>
      <w:r w:rsidR="00B6313D">
        <w:t>. Omfanget av årsverk har variert en del over tid, særlig når det gjelder rekrutteringsstillinger, noe som reflekterer tilgangen på prosjekter.</w:t>
      </w:r>
      <w:r w:rsidR="00813BFF">
        <w:rPr>
          <w:rStyle w:val="FootnoteReference"/>
          <w:rFonts w:ascii="Times New Roman" w:hAnsi="Times New Roman"/>
          <w:sz w:val="24"/>
          <w:szCs w:val="24"/>
        </w:rPr>
        <w:footnoteReference w:id="1"/>
      </w:r>
    </w:p>
    <w:p w14:paraId="7E7B1498" w14:textId="32EA26CF" w:rsidR="00D8380A" w:rsidRDefault="00D8380A" w:rsidP="00D8380A">
      <w:pPr>
        <w:pStyle w:val="Caption"/>
        <w:keepNext/>
      </w:pPr>
      <w:bookmarkStart w:id="1" w:name="_Ref3282075"/>
      <w:r>
        <w:t xml:space="preserve">Tabell </w:t>
      </w:r>
      <w:r w:rsidR="00991761">
        <w:rPr>
          <w:noProof/>
        </w:rPr>
        <w:fldChar w:fldCharType="begin"/>
      </w:r>
      <w:r w:rsidR="00991761">
        <w:rPr>
          <w:noProof/>
        </w:rPr>
        <w:instrText xml:space="preserve"> SEQ Tabell \* ARABIC </w:instrText>
      </w:r>
      <w:r w:rsidR="00991761">
        <w:rPr>
          <w:noProof/>
        </w:rPr>
        <w:fldChar w:fldCharType="separate"/>
      </w:r>
      <w:r w:rsidR="00334FA3">
        <w:rPr>
          <w:noProof/>
        </w:rPr>
        <w:t>1</w:t>
      </w:r>
      <w:r w:rsidR="00991761">
        <w:rPr>
          <w:noProof/>
        </w:rPr>
        <w:fldChar w:fldCharType="end"/>
      </w:r>
      <w:bookmarkEnd w:id="1"/>
      <w:r>
        <w:t xml:space="preserve">: ARENA </w:t>
      </w:r>
      <w:r w:rsidR="00010D78">
        <w:t xml:space="preserve">ansatte, </w:t>
      </w:r>
      <w:r>
        <w:t>årsverk. Kilde DBH-NSD.</w:t>
      </w:r>
    </w:p>
    <w:tbl>
      <w:tblPr>
        <w:tblStyle w:val="MediumGrid3-Accent3"/>
        <w:tblW w:w="0" w:type="auto"/>
        <w:tblLook w:val="06E0" w:firstRow="1" w:lastRow="1" w:firstColumn="1" w:lastColumn="0" w:noHBand="1" w:noVBand="1"/>
      </w:tblPr>
      <w:tblGrid>
        <w:gridCol w:w="1323"/>
        <w:gridCol w:w="632"/>
        <w:gridCol w:w="633"/>
        <w:gridCol w:w="633"/>
        <w:gridCol w:w="633"/>
        <w:gridCol w:w="633"/>
        <w:gridCol w:w="633"/>
        <w:gridCol w:w="633"/>
        <w:gridCol w:w="633"/>
        <w:gridCol w:w="633"/>
        <w:gridCol w:w="633"/>
        <w:gridCol w:w="633"/>
        <w:gridCol w:w="633"/>
        <w:gridCol w:w="633"/>
        <w:gridCol w:w="633"/>
      </w:tblGrid>
      <w:tr w:rsidR="009F7FAC" w:rsidRPr="009F7FAC" w14:paraId="5615DB02" w14:textId="77777777" w:rsidTr="00010D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3" w:type="dxa"/>
          </w:tcPr>
          <w:p w14:paraId="4DFF15EC" w14:textId="77777777" w:rsidR="00B6313D" w:rsidRPr="009F7FAC" w:rsidRDefault="00B6313D" w:rsidP="009F7FAC">
            <w:pPr>
              <w:keepNext/>
              <w:keepLines/>
              <w:spacing w:before="150" w:after="75" w:line="240" w:lineRule="auto"/>
              <w:textAlignment w:val="baseline"/>
              <w:rPr>
                <w:rFonts w:asciiTheme="minorHAnsi" w:hAnsiTheme="minorHAnsi"/>
                <w:sz w:val="18"/>
                <w:szCs w:val="24"/>
              </w:rPr>
            </w:pPr>
          </w:p>
        </w:tc>
        <w:tc>
          <w:tcPr>
            <w:tcW w:w="632" w:type="dxa"/>
            <w:vAlign w:val="center"/>
          </w:tcPr>
          <w:p w14:paraId="4DF8D32E" w14:textId="514D9AB2"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2005</w:t>
            </w:r>
          </w:p>
        </w:tc>
        <w:tc>
          <w:tcPr>
            <w:tcW w:w="633" w:type="dxa"/>
            <w:vAlign w:val="center"/>
          </w:tcPr>
          <w:p w14:paraId="5DCA5A62" w14:textId="363BD1F0"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2006</w:t>
            </w:r>
          </w:p>
        </w:tc>
        <w:tc>
          <w:tcPr>
            <w:tcW w:w="633" w:type="dxa"/>
            <w:vAlign w:val="center"/>
          </w:tcPr>
          <w:p w14:paraId="36FA572A" w14:textId="17B74AE2"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2007</w:t>
            </w:r>
          </w:p>
        </w:tc>
        <w:tc>
          <w:tcPr>
            <w:tcW w:w="633" w:type="dxa"/>
            <w:vAlign w:val="center"/>
          </w:tcPr>
          <w:p w14:paraId="3CEEBFDF" w14:textId="1FED86D2"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2008</w:t>
            </w:r>
          </w:p>
        </w:tc>
        <w:tc>
          <w:tcPr>
            <w:tcW w:w="633" w:type="dxa"/>
            <w:vAlign w:val="center"/>
          </w:tcPr>
          <w:p w14:paraId="2E43B125" w14:textId="39356716"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2009</w:t>
            </w:r>
          </w:p>
        </w:tc>
        <w:tc>
          <w:tcPr>
            <w:tcW w:w="633" w:type="dxa"/>
            <w:vAlign w:val="center"/>
          </w:tcPr>
          <w:p w14:paraId="75EF97D4" w14:textId="28FF37B5"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2010</w:t>
            </w:r>
          </w:p>
        </w:tc>
        <w:tc>
          <w:tcPr>
            <w:tcW w:w="633" w:type="dxa"/>
            <w:vAlign w:val="center"/>
          </w:tcPr>
          <w:p w14:paraId="03A0937C" w14:textId="706AB31A"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2011</w:t>
            </w:r>
          </w:p>
        </w:tc>
        <w:tc>
          <w:tcPr>
            <w:tcW w:w="633" w:type="dxa"/>
            <w:vAlign w:val="center"/>
          </w:tcPr>
          <w:p w14:paraId="4246AC13" w14:textId="62898CB9"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2012</w:t>
            </w:r>
          </w:p>
        </w:tc>
        <w:tc>
          <w:tcPr>
            <w:tcW w:w="633" w:type="dxa"/>
            <w:vAlign w:val="center"/>
          </w:tcPr>
          <w:p w14:paraId="2C443F4D" w14:textId="5296C953"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2013</w:t>
            </w:r>
          </w:p>
        </w:tc>
        <w:tc>
          <w:tcPr>
            <w:tcW w:w="633" w:type="dxa"/>
            <w:vAlign w:val="center"/>
          </w:tcPr>
          <w:p w14:paraId="513D441D" w14:textId="40880F1D"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2014</w:t>
            </w:r>
          </w:p>
        </w:tc>
        <w:tc>
          <w:tcPr>
            <w:tcW w:w="633" w:type="dxa"/>
            <w:vAlign w:val="center"/>
          </w:tcPr>
          <w:p w14:paraId="366AEFE4" w14:textId="30393F66"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2015</w:t>
            </w:r>
          </w:p>
        </w:tc>
        <w:tc>
          <w:tcPr>
            <w:tcW w:w="633" w:type="dxa"/>
            <w:vAlign w:val="center"/>
          </w:tcPr>
          <w:p w14:paraId="3F81D21F" w14:textId="70D016E5"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2016</w:t>
            </w:r>
          </w:p>
        </w:tc>
        <w:tc>
          <w:tcPr>
            <w:tcW w:w="633" w:type="dxa"/>
            <w:vAlign w:val="center"/>
          </w:tcPr>
          <w:p w14:paraId="7266D65C" w14:textId="5B391DF2"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2017</w:t>
            </w:r>
          </w:p>
        </w:tc>
        <w:tc>
          <w:tcPr>
            <w:tcW w:w="633" w:type="dxa"/>
            <w:vAlign w:val="center"/>
          </w:tcPr>
          <w:p w14:paraId="6E3A8539" w14:textId="70C64D84" w:rsidR="00B6313D" w:rsidRPr="009F7FAC" w:rsidRDefault="009F7FAC"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2018</w:t>
            </w:r>
          </w:p>
        </w:tc>
      </w:tr>
      <w:tr w:rsidR="009F7FAC" w:rsidRPr="009F7FAC" w14:paraId="10B62F8C" w14:textId="77777777" w:rsidTr="00D8380A">
        <w:tc>
          <w:tcPr>
            <w:cnfStyle w:val="001000000000" w:firstRow="0" w:lastRow="0" w:firstColumn="1" w:lastColumn="0" w:oddVBand="0" w:evenVBand="0" w:oddHBand="0" w:evenHBand="0" w:firstRowFirstColumn="0" w:firstRowLastColumn="0" w:lastRowFirstColumn="0" w:lastRowLastColumn="0"/>
            <w:tcW w:w="1323" w:type="dxa"/>
          </w:tcPr>
          <w:p w14:paraId="1F7FCCF2" w14:textId="3F012333" w:rsidR="00B6313D" w:rsidRPr="009F7FAC" w:rsidRDefault="009F7FAC" w:rsidP="009F7FAC">
            <w:pPr>
              <w:keepNext/>
              <w:keepLines/>
              <w:spacing w:before="150" w:after="75" w:line="240" w:lineRule="auto"/>
              <w:textAlignment w:val="baseline"/>
              <w:rPr>
                <w:rFonts w:asciiTheme="minorHAnsi" w:hAnsiTheme="minorHAnsi"/>
                <w:sz w:val="18"/>
                <w:szCs w:val="24"/>
              </w:rPr>
            </w:pPr>
            <w:r w:rsidRPr="009F7FAC">
              <w:rPr>
                <w:rFonts w:asciiTheme="minorHAnsi" w:hAnsiTheme="minorHAnsi"/>
                <w:sz w:val="18"/>
                <w:szCs w:val="24"/>
              </w:rPr>
              <w:t>Vitenskapelige</w:t>
            </w:r>
          </w:p>
        </w:tc>
        <w:tc>
          <w:tcPr>
            <w:tcW w:w="632" w:type="dxa"/>
            <w:vAlign w:val="center"/>
          </w:tcPr>
          <w:p w14:paraId="04E62500" w14:textId="53F68FB8"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8</w:t>
            </w:r>
          </w:p>
        </w:tc>
        <w:tc>
          <w:tcPr>
            <w:tcW w:w="633" w:type="dxa"/>
            <w:vAlign w:val="center"/>
          </w:tcPr>
          <w:p w14:paraId="0C26369D" w14:textId="65A363D9"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10</w:t>
            </w:r>
          </w:p>
        </w:tc>
        <w:tc>
          <w:tcPr>
            <w:tcW w:w="633" w:type="dxa"/>
            <w:vAlign w:val="center"/>
          </w:tcPr>
          <w:p w14:paraId="3109CEB2" w14:textId="38447973"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10</w:t>
            </w:r>
          </w:p>
        </w:tc>
        <w:tc>
          <w:tcPr>
            <w:tcW w:w="633" w:type="dxa"/>
            <w:vAlign w:val="center"/>
          </w:tcPr>
          <w:p w14:paraId="604B5C34" w14:textId="7B45B2AA"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16</w:t>
            </w:r>
          </w:p>
        </w:tc>
        <w:tc>
          <w:tcPr>
            <w:tcW w:w="633" w:type="dxa"/>
            <w:vAlign w:val="center"/>
          </w:tcPr>
          <w:p w14:paraId="461D130D" w14:textId="390DF415"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12</w:t>
            </w:r>
          </w:p>
        </w:tc>
        <w:tc>
          <w:tcPr>
            <w:tcW w:w="633" w:type="dxa"/>
            <w:vAlign w:val="center"/>
          </w:tcPr>
          <w:p w14:paraId="6470C398" w14:textId="06D36C33"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10</w:t>
            </w:r>
          </w:p>
        </w:tc>
        <w:tc>
          <w:tcPr>
            <w:tcW w:w="633" w:type="dxa"/>
            <w:vAlign w:val="center"/>
          </w:tcPr>
          <w:p w14:paraId="550C914F" w14:textId="7390B365"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10</w:t>
            </w:r>
          </w:p>
        </w:tc>
        <w:tc>
          <w:tcPr>
            <w:tcW w:w="633" w:type="dxa"/>
            <w:vAlign w:val="center"/>
          </w:tcPr>
          <w:p w14:paraId="5E2F5D89" w14:textId="113F18E3"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9</w:t>
            </w:r>
          </w:p>
        </w:tc>
        <w:tc>
          <w:tcPr>
            <w:tcW w:w="633" w:type="dxa"/>
            <w:vAlign w:val="center"/>
          </w:tcPr>
          <w:p w14:paraId="5A2448CE" w14:textId="74C59D7E"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10</w:t>
            </w:r>
          </w:p>
        </w:tc>
        <w:tc>
          <w:tcPr>
            <w:tcW w:w="633" w:type="dxa"/>
            <w:vAlign w:val="center"/>
          </w:tcPr>
          <w:p w14:paraId="3D09E03A" w14:textId="5C37D70B"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8</w:t>
            </w:r>
          </w:p>
        </w:tc>
        <w:tc>
          <w:tcPr>
            <w:tcW w:w="633" w:type="dxa"/>
            <w:vAlign w:val="center"/>
          </w:tcPr>
          <w:p w14:paraId="3EEBDF4C" w14:textId="6541ACF7"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9</w:t>
            </w:r>
          </w:p>
        </w:tc>
        <w:tc>
          <w:tcPr>
            <w:tcW w:w="633" w:type="dxa"/>
            <w:vAlign w:val="center"/>
          </w:tcPr>
          <w:p w14:paraId="79E2325C" w14:textId="2395761F"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8</w:t>
            </w:r>
          </w:p>
        </w:tc>
        <w:tc>
          <w:tcPr>
            <w:tcW w:w="633" w:type="dxa"/>
            <w:vAlign w:val="center"/>
          </w:tcPr>
          <w:p w14:paraId="75B2E5C2" w14:textId="55F242D9"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10</w:t>
            </w:r>
          </w:p>
        </w:tc>
        <w:tc>
          <w:tcPr>
            <w:tcW w:w="633" w:type="dxa"/>
            <w:vAlign w:val="center"/>
          </w:tcPr>
          <w:p w14:paraId="6B254ADF" w14:textId="49FB68B5"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9</w:t>
            </w:r>
          </w:p>
        </w:tc>
      </w:tr>
      <w:tr w:rsidR="009F7FAC" w:rsidRPr="009F7FAC" w14:paraId="69566AF0" w14:textId="77777777" w:rsidTr="00D8380A">
        <w:tc>
          <w:tcPr>
            <w:cnfStyle w:val="001000000000" w:firstRow="0" w:lastRow="0" w:firstColumn="1" w:lastColumn="0" w:oddVBand="0" w:evenVBand="0" w:oddHBand="0" w:evenHBand="0" w:firstRowFirstColumn="0" w:firstRowLastColumn="0" w:lastRowFirstColumn="0" w:lastRowLastColumn="0"/>
            <w:tcW w:w="1323" w:type="dxa"/>
          </w:tcPr>
          <w:p w14:paraId="384ABBF1" w14:textId="4983F288" w:rsidR="00B6313D" w:rsidRPr="009F7FAC" w:rsidRDefault="009F7FAC" w:rsidP="009F7FAC">
            <w:pPr>
              <w:keepNext/>
              <w:keepLines/>
              <w:spacing w:before="150" w:after="75" w:line="240" w:lineRule="auto"/>
              <w:textAlignment w:val="baseline"/>
              <w:rPr>
                <w:rFonts w:asciiTheme="minorHAnsi" w:hAnsiTheme="minorHAnsi"/>
                <w:sz w:val="18"/>
                <w:szCs w:val="24"/>
              </w:rPr>
            </w:pPr>
            <w:r w:rsidRPr="009F7FAC">
              <w:rPr>
                <w:rFonts w:asciiTheme="minorHAnsi" w:hAnsiTheme="minorHAnsi"/>
                <w:sz w:val="18"/>
                <w:szCs w:val="24"/>
              </w:rPr>
              <w:t>Rekruttering</w:t>
            </w:r>
          </w:p>
        </w:tc>
        <w:tc>
          <w:tcPr>
            <w:tcW w:w="632" w:type="dxa"/>
            <w:vAlign w:val="center"/>
          </w:tcPr>
          <w:p w14:paraId="2618DB3A" w14:textId="5D9883B2"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4</w:t>
            </w:r>
          </w:p>
        </w:tc>
        <w:tc>
          <w:tcPr>
            <w:tcW w:w="633" w:type="dxa"/>
            <w:vAlign w:val="center"/>
          </w:tcPr>
          <w:p w14:paraId="229F0F46" w14:textId="483A6688"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4</w:t>
            </w:r>
          </w:p>
        </w:tc>
        <w:tc>
          <w:tcPr>
            <w:tcW w:w="633" w:type="dxa"/>
            <w:vAlign w:val="center"/>
          </w:tcPr>
          <w:p w14:paraId="4B19A3AE" w14:textId="74E7454D"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4</w:t>
            </w:r>
          </w:p>
        </w:tc>
        <w:tc>
          <w:tcPr>
            <w:tcW w:w="633" w:type="dxa"/>
            <w:vAlign w:val="center"/>
          </w:tcPr>
          <w:p w14:paraId="31A92D58" w14:textId="675A8824"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423D485C" w14:textId="1725BFF2"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6</w:t>
            </w:r>
          </w:p>
        </w:tc>
        <w:tc>
          <w:tcPr>
            <w:tcW w:w="633" w:type="dxa"/>
            <w:vAlign w:val="center"/>
          </w:tcPr>
          <w:p w14:paraId="440DBE86" w14:textId="1E416BDA"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7</w:t>
            </w:r>
          </w:p>
        </w:tc>
        <w:tc>
          <w:tcPr>
            <w:tcW w:w="633" w:type="dxa"/>
            <w:vAlign w:val="center"/>
          </w:tcPr>
          <w:p w14:paraId="5E52F0FF" w14:textId="4ED341DE"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7</w:t>
            </w:r>
          </w:p>
        </w:tc>
        <w:tc>
          <w:tcPr>
            <w:tcW w:w="633" w:type="dxa"/>
            <w:vAlign w:val="center"/>
          </w:tcPr>
          <w:p w14:paraId="2EF44A11" w14:textId="1992B9EB"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9</w:t>
            </w:r>
          </w:p>
        </w:tc>
        <w:tc>
          <w:tcPr>
            <w:tcW w:w="633" w:type="dxa"/>
            <w:vAlign w:val="center"/>
          </w:tcPr>
          <w:p w14:paraId="6CCA4970" w14:textId="05F15B51"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10</w:t>
            </w:r>
          </w:p>
        </w:tc>
        <w:tc>
          <w:tcPr>
            <w:tcW w:w="633" w:type="dxa"/>
            <w:vAlign w:val="center"/>
          </w:tcPr>
          <w:p w14:paraId="277030AB" w14:textId="24A6C69D"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9</w:t>
            </w:r>
          </w:p>
        </w:tc>
        <w:tc>
          <w:tcPr>
            <w:tcW w:w="633" w:type="dxa"/>
            <w:vAlign w:val="center"/>
          </w:tcPr>
          <w:p w14:paraId="1607E804" w14:textId="2D1E315B"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7</w:t>
            </w:r>
          </w:p>
        </w:tc>
        <w:tc>
          <w:tcPr>
            <w:tcW w:w="633" w:type="dxa"/>
            <w:vAlign w:val="center"/>
          </w:tcPr>
          <w:p w14:paraId="485C9767" w14:textId="7A582BFF"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8</w:t>
            </w:r>
          </w:p>
        </w:tc>
        <w:tc>
          <w:tcPr>
            <w:tcW w:w="633" w:type="dxa"/>
            <w:vAlign w:val="center"/>
          </w:tcPr>
          <w:p w14:paraId="23291BDE" w14:textId="54905629"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14</w:t>
            </w:r>
          </w:p>
        </w:tc>
        <w:tc>
          <w:tcPr>
            <w:tcW w:w="633" w:type="dxa"/>
            <w:vAlign w:val="center"/>
          </w:tcPr>
          <w:p w14:paraId="7B1ED821" w14:textId="617AEB22" w:rsidR="00B6313D" w:rsidRPr="009F7FAC" w:rsidRDefault="00D8380A"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11</w:t>
            </w:r>
          </w:p>
        </w:tc>
      </w:tr>
      <w:tr w:rsidR="009F7FAC" w:rsidRPr="009F7FAC" w14:paraId="4E473BE0" w14:textId="77777777" w:rsidTr="00D8380A">
        <w:tc>
          <w:tcPr>
            <w:cnfStyle w:val="001000000000" w:firstRow="0" w:lastRow="0" w:firstColumn="1" w:lastColumn="0" w:oddVBand="0" w:evenVBand="0" w:oddHBand="0" w:evenHBand="0" w:firstRowFirstColumn="0" w:firstRowLastColumn="0" w:lastRowFirstColumn="0" w:lastRowLastColumn="0"/>
            <w:tcW w:w="1323" w:type="dxa"/>
          </w:tcPr>
          <w:p w14:paraId="33516A41" w14:textId="58C59CED" w:rsidR="00B6313D" w:rsidRPr="009F7FAC" w:rsidRDefault="009F7FAC" w:rsidP="009F7FAC">
            <w:pPr>
              <w:keepNext/>
              <w:keepLines/>
              <w:spacing w:before="150" w:after="75" w:line="240" w:lineRule="auto"/>
              <w:textAlignment w:val="baseline"/>
              <w:rPr>
                <w:rFonts w:asciiTheme="minorHAnsi" w:hAnsiTheme="minorHAnsi"/>
                <w:sz w:val="18"/>
                <w:szCs w:val="24"/>
              </w:rPr>
            </w:pPr>
            <w:r w:rsidRPr="009F7FAC">
              <w:rPr>
                <w:rFonts w:asciiTheme="minorHAnsi" w:hAnsiTheme="minorHAnsi"/>
                <w:sz w:val="18"/>
                <w:szCs w:val="24"/>
              </w:rPr>
              <w:t>Administrative</w:t>
            </w:r>
          </w:p>
        </w:tc>
        <w:tc>
          <w:tcPr>
            <w:tcW w:w="632" w:type="dxa"/>
            <w:vAlign w:val="center"/>
          </w:tcPr>
          <w:p w14:paraId="55661D1F" w14:textId="0BD404B3"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4</w:t>
            </w:r>
          </w:p>
        </w:tc>
        <w:tc>
          <w:tcPr>
            <w:tcW w:w="633" w:type="dxa"/>
            <w:vAlign w:val="center"/>
          </w:tcPr>
          <w:p w14:paraId="4978227A" w14:textId="037C3C10"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3</w:t>
            </w:r>
          </w:p>
        </w:tc>
        <w:tc>
          <w:tcPr>
            <w:tcW w:w="633" w:type="dxa"/>
            <w:vAlign w:val="center"/>
          </w:tcPr>
          <w:p w14:paraId="20CF7199" w14:textId="2784EAA8"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5145B4CD" w14:textId="312AE535"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7A35FB7A" w14:textId="55A7E23E"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03FD83D1" w14:textId="249F4303"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6</w:t>
            </w:r>
          </w:p>
        </w:tc>
        <w:tc>
          <w:tcPr>
            <w:tcW w:w="633" w:type="dxa"/>
            <w:vAlign w:val="center"/>
          </w:tcPr>
          <w:p w14:paraId="2FB68C38" w14:textId="0CDA7F71"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7</w:t>
            </w:r>
          </w:p>
        </w:tc>
        <w:tc>
          <w:tcPr>
            <w:tcW w:w="633" w:type="dxa"/>
            <w:vAlign w:val="center"/>
          </w:tcPr>
          <w:p w14:paraId="092E0907" w14:textId="3557D21E"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461D0C5D" w14:textId="052487FE"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6</w:t>
            </w:r>
          </w:p>
        </w:tc>
        <w:tc>
          <w:tcPr>
            <w:tcW w:w="633" w:type="dxa"/>
            <w:vAlign w:val="center"/>
          </w:tcPr>
          <w:p w14:paraId="637015D0" w14:textId="6581CC80"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3</w:t>
            </w:r>
          </w:p>
        </w:tc>
        <w:tc>
          <w:tcPr>
            <w:tcW w:w="633" w:type="dxa"/>
            <w:vAlign w:val="center"/>
          </w:tcPr>
          <w:p w14:paraId="5E01B815" w14:textId="3F8F314D"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3</w:t>
            </w:r>
          </w:p>
        </w:tc>
        <w:tc>
          <w:tcPr>
            <w:tcW w:w="633" w:type="dxa"/>
            <w:vAlign w:val="center"/>
          </w:tcPr>
          <w:p w14:paraId="02FFF093" w14:textId="736338E7"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4</w:t>
            </w:r>
          </w:p>
        </w:tc>
        <w:tc>
          <w:tcPr>
            <w:tcW w:w="633" w:type="dxa"/>
            <w:vAlign w:val="center"/>
          </w:tcPr>
          <w:p w14:paraId="2FBCDCF1" w14:textId="408ADF44"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7B74E377" w14:textId="2AA41C88" w:rsidR="00B6313D" w:rsidRPr="009F7FAC" w:rsidRDefault="009F7FAC" w:rsidP="009F7FAC">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6</w:t>
            </w:r>
          </w:p>
        </w:tc>
      </w:tr>
      <w:tr w:rsidR="009F7FAC" w:rsidRPr="009F7FAC" w14:paraId="0C263A39" w14:textId="77777777" w:rsidTr="00D8380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3" w:type="dxa"/>
          </w:tcPr>
          <w:p w14:paraId="5029C6E2" w14:textId="10FE19D6" w:rsidR="009F7FAC" w:rsidRPr="009F7FAC" w:rsidRDefault="009F7FAC" w:rsidP="009F7FAC">
            <w:pPr>
              <w:keepNext/>
              <w:keepLines/>
              <w:spacing w:before="150" w:after="75" w:line="240" w:lineRule="auto"/>
              <w:textAlignment w:val="baseline"/>
              <w:rPr>
                <w:rFonts w:asciiTheme="minorHAnsi" w:hAnsiTheme="minorHAnsi"/>
                <w:sz w:val="18"/>
                <w:szCs w:val="24"/>
              </w:rPr>
            </w:pPr>
            <w:r>
              <w:rPr>
                <w:rFonts w:asciiTheme="minorHAnsi" w:hAnsiTheme="minorHAnsi"/>
                <w:sz w:val="18"/>
                <w:szCs w:val="24"/>
              </w:rPr>
              <w:t>Totalt</w:t>
            </w:r>
          </w:p>
        </w:tc>
        <w:tc>
          <w:tcPr>
            <w:tcW w:w="632" w:type="dxa"/>
            <w:vAlign w:val="center"/>
          </w:tcPr>
          <w:p w14:paraId="6DBFACD5" w14:textId="38FF06C2"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16</w:t>
            </w:r>
          </w:p>
        </w:tc>
        <w:tc>
          <w:tcPr>
            <w:tcW w:w="633" w:type="dxa"/>
            <w:vAlign w:val="center"/>
          </w:tcPr>
          <w:p w14:paraId="6D565452" w14:textId="6515C594"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17</w:t>
            </w:r>
          </w:p>
        </w:tc>
        <w:tc>
          <w:tcPr>
            <w:tcW w:w="633" w:type="dxa"/>
            <w:vAlign w:val="center"/>
          </w:tcPr>
          <w:p w14:paraId="23EDD230" w14:textId="1B106331"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19</w:t>
            </w:r>
          </w:p>
        </w:tc>
        <w:tc>
          <w:tcPr>
            <w:tcW w:w="633" w:type="dxa"/>
            <w:vAlign w:val="center"/>
          </w:tcPr>
          <w:p w14:paraId="75A553C6" w14:textId="21F04437"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25</w:t>
            </w:r>
          </w:p>
        </w:tc>
        <w:tc>
          <w:tcPr>
            <w:tcW w:w="633" w:type="dxa"/>
            <w:vAlign w:val="center"/>
          </w:tcPr>
          <w:p w14:paraId="628BD90D" w14:textId="550B00A0"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22</w:t>
            </w:r>
          </w:p>
        </w:tc>
        <w:tc>
          <w:tcPr>
            <w:tcW w:w="633" w:type="dxa"/>
            <w:vAlign w:val="center"/>
          </w:tcPr>
          <w:p w14:paraId="2A12A6F5" w14:textId="573EF198"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23</w:t>
            </w:r>
          </w:p>
        </w:tc>
        <w:tc>
          <w:tcPr>
            <w:tcW w:w="633" w:type="dxa"/>
            <w:vAlign w:val="center"/>
          </w:tcPr>
          <w:p w14:paraId="289BD9AD" w14:textId="0ABA0A8B"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24</w:t>
            </w:r>
          </w:p>
        </w:tc>
        <w:tc>
          <w:tcPr>
            <w:tcW w:w="633" w:type="dxa"/>
            <w:vAlign w:val="center"/>
          </w:tcPr>
          <w:p w14:paraId="7DFA7F10" w14:textId="2D4B16B5"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23</w:t>
            </w:r>
          </w:p>
        </w:tc>
        <w:tc>
          <w:tcPr>
            <w:tcW w:w="633" w:type="dxa"/>
            <w:vAlign w:val="center"/>
          </w:tcPr>
          <w:p w14:paraId="0DE97204" w14:textId="4D0E5F37"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25</w:t>
            </w:r>
          </w:p>
        </w:tc>
        <w:tc>
          <w:tcPr>
            <w:tcW w:w="633" w:type="dxa"/>
            <w:vAlign w:val="center"/>
          </w:tcPr>
          <w:p w14:paraId="4FC7B7D4" w14:textId="1085DDA5"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20</w:t>
            </w:r>
          </w:p>
        </w:tc>
        <w:tc>
          <w:tcPr>
            <w:tcW w:w="633" w:type="dxa"/>
            <w:vAlign w:val="center"/>
          </w:tcPr>
          <w:p w14:paraId="3BE41895" w14:textId="385D3F11"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19</w:t>
            </w:r>
          </w:p>
        </w:tc>
        <w:tc>
          <w:tcPr>
            <w:tcW w:w="633" w:type="dxa"/>
            <w:vAlign w:val="center"/>
          </w:tcPr>
          <w:p w14:paraId="388FDA6E" w14:textId="5185FB81"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21</w:t>
            </w:r>
          </w:p>
        </w:tc>
        <w:tc>
          <w:tcPr>
            <w:tcW w:w="633" w:type="dxa"/>
            <w:vAlign w:val="center"/>
          </w:tcPr>
          <w:p w14:paraId="01BB80B0" w14:textId="70BCF693"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29</w:t>
            </w:r>
          </w:p>
        </w:tc>
        <w:tc>
          <w:tcPr>
            <w:tcW w:w="633" w:type="dxa"/>
            <w:vAlign w:val="center"/>
          </w:tcPr>
          <w:p w14:paraId="1144816F" w14:textId="36FD1E6C" w:rsidR="009F7FAC" w:rsidRPr="009F7FAC" w:rsidRDefault="009F7FAC" w:rsidP="009F7FAC">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26</w:t>
            </w:r>
          </w:p>
        </w:tc>
      </w:tr>
    </w:tbl>
    <w:p w14:paraId="198C3CF3" w14:textId="7BA41245" w:rsidR="001C558F" w:rsidRDefault="001C558F" w:rsidP="00945F8B">
      <w:pPr>
        <w:pStyle w:val="BodyText"/>
        <w:spacing w:before="240"/>
      </w:pPr>
      <w:r>
        <w:t>ARENA hadde ved utgangen av 2018 et akkumulert underskudd på 3,8 millioner kroner, etter et underskudd for året på 4,0 millioner kroner</w:t>
      </w:r>
      <w:r w:rsidR="00945F8B">
        <w:t xml:space="preserve"> (se </w:t>
      </w:r>
      <w:r w:rsidR="00945F8B">
        <w:fldChar w:fldCharType="begin"/>
      </w:r>
      <w:r w:rsidR="00945F8B">
        <w:instrText xml:space="preserve"> REF _Ref3283963 \h \*Lower </w:instrText>
      </w:r>
      <w:r w:rsidR="00945F8B">
        <w:fldChar w:fldCharType="separate"/>
      </w:r>
      <w:r w:rsidR="00334FA3">
        <w:t xml:space="preserve">tabell </w:t>
      </w:r>
      <w:r w:rsidR="00334FA3">
        <w:rPr>
          <w:noProof/>
        </w:rPr>
        <w:t>2</w:t>
      </w:r>
      <w:r w:rsidR="00945F8B">
        <w:fldChar w:fldCharType="end"/>
      </w:r>
      <w:r w:rsidR="00945F8B">
        <w:t>)</w:t>
      </w:r>
      <w:r>
        <w:t>. Årsresultatet er sterkt påvirket av periodiseringen av inntekter (som ikke fullt ut følger de tilhørende kostnader), og underskuddet i 2018 må ses i sammenheng med overskuddet i 2017</w:t>
      </w:r>
      <w:r w:rsidR="00A55C48">
        <w:t xml:space="preserve">, </w:t>
      </w:r>
      <w:r w:rsidR="00945F8B">
        <w:t xml:space="preserve">der flere </w:t>
      </w:r>
      <w:r w:rsidR="00A55C48">
        <w:t>nye</w:t>
      </w:r>
      <w:r w:rsidR="00945F8B">
        <w:t>,</w:t>
      </w:r>
      <w:r w:rsidR="00A55C48">
        <w:t xml:space="preserve"> store prosjekter ble inntektsført</w:t>
      </w:r>
      <w:r>
        <w:t xml:space="preserve">. ARENA har siden 2014 hatt et akkumulert underskudd som senteret ikke har vært istand til å bygge ned; det er budsjettert med at dette underskuddet vil </w:t>
      </w:r>
      <w:r w:rsidR="00210B5F">
        <w:t>reduseres</w:t>
      </w:r>
      <w:r>
        <w:t xml:space="preserve"> i langtidsbudsjettperioden frem til 202</w:t>
      </w:r>
      <w:r w:rsidR="00945F8B">
        <w:t>4</w:t>
      </w:r>
      <w:r>
        <w:t>.</w:t>
      </w:r>
    </w:p>
    <w:p w14:paraId="539AC566" w14:textId="2135BB6F" w:rsidR="00D8380A" w:rsidRDefault="00D8380A" w:rsidP="00D8380A">
      <w:pPr>
        <w:pStyle w:val="Caption"/>
        <w:keepNext/>
      </w:pPr>
      <w:bookmarkStart w:id="2" w:name="_Ref3283963"/>
      <w:r>
        <w:lastRenderedPageBreak/>
        <w:t xml:space="preserve">Tabell </w:t>
      </w:r>
      <w:r w:rsidR="00991761">
        <w:rPr>
          <w:noProof/>
        </w:rPr>
        <w:fldChar w:fldCharType="begin"/>
      </w:r>
      <w:r w:rsidR="00991761">
        <w:rPr>
          <w:noProof/>
        </w:rPr>
        <w:instrText xml:space="preserve"> SEQ Tabell \* ARABIC </w:instrText>
      </w:r>
      <w:r w:rsidR="00991761">
        <w:rPr>
          <w:noProof/>
        </w:rPr>
        <w:fldChar w:fldCharType="separate"/>
      </w:r>
      <w:r w:rsidR="00334FA3">
        <w:rPr>
          <w:noProof/>
        </w:rPr>
        <w:t>2</w:t>
      </w:r>
      <w:r w:rsidR="00991761">
        <w:rPr>
          <w:noProof/>
        </w:rPr>
        <w:fldChar w:fldCharType="end"/>
      </w:r>
      <w:bookmarkEnd w:id="2"/>
      <w:r>
        <w:t xml:space="preserve">: ARENA </w:t>
      </w:r>
      <w:r w:rsidR="001C558F">
        <w:t>økonomi, tusen kroner</w:t>
      </w:r>
      <w:r>
        <w:t>. Kilde DBH-NSD.</w:t>
      </w:r>
    </w:p>
    <w:tbl>
      <w:tblPr>
        <w:tblStyle w:val="MediumGrid3-Accent3"/>
        <w:tblW w:w="0" w:type="auto"/>
        <w:tblLook w:val="06E0" w:firstRow="1" w:lastRow="1" w:firstColumn="1" w:lastColumn="0" w:noHBand="1" w:noVBand="1"/>
      </w:tblPr>
      <w:tblGrid>
        <w:gridCol w:w="953"/>
        <w:gridCol w:w="659"/>
        <w:gridCol w:w="659"/>
        <w:gridCol w:w="660"/>
        <w:gridCol w:w="659"/>
        <w:gridCol w:w="659"/>
        <w:gridCol w:w="660"/>
        <w:gridCol w:w="659"/>
        <w:gridCol w:w="659"/>
        <w:gridCol w:w="660"/>
        <w:gridCol w:w="659"/>
        <w:gridCol w:w="659"/>
        <w:gridCol w:w="660"/>
        <w:gridCol w:w="659"/>
        <w:gridCol w:w="660"/>
      </w:tblGrid>
      <w:tr w:rsidR="00D8380A" w:rsidRPr="001C558F" w14:paraId="598D88B8" w14:textId="77777777" w:rsidTr="001C55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3" w:type="dxa"/>
          </w:tcPr>
          <w:p w14:paraId="7393B7CA" w14:textId="77777777" w:rsidR="00D8380A" w:rsidRPr="001C558F" w:rsidRDefault="00D8380A" w:rsidP="00010D78">
            <w:pPr>
              <w:keepNext/>
              <w:keepLines/>
              <w:spacing w:before="150" w:after="75" w:line="240" w:lineRule="auto"/>
              <w:textAlignment w:val="baseline"/>
              <w:rPr>
                <w:rFonts w:asciiTheme="minorHAnsi" w:hAnsiTheme="minorHAnsi"/>
                <w:sz w:val="14"/>
                <w:szCs w:val="24"/>
              </w:rPr>
            </w:pPr>
          </w:p>
        </w:tc>
        <w:tc>
          <w:tcPr>
            <w:tcW w:w="659" w:type="dxa"/>
            <w:vAlign w:val="center"/>
          </w:tcPr>
          <w:p w14:paraId="04FEA324"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2005</w:t>
            </w:r>
          </w:p>
        </w:tc>
        <w:tc>
          <w:tcPr>
            <w:tcW w:w="659" w:type="dxa"/>
            <w:vAlign w:val="center"/>
          </w:tcPr>
          <w:p w14:paraId="37C55F24"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2006</w:t>
            </w:r>
          </w:p>
        </w:tc>
        <w:tc>
          <w:tcPr>
            <w:tcW w:w="660" w:type="dxa"/>
            <w:vAlign w:val="center"/>
          </w:tcPr>
          <w:p w14:paraId="29DFB15C"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2007</w:t>
            </w:r>
          </w:p>
        </w:tc>
        <w:tc>
          <w:tcPr>
            <w:tcW w:w="659" w:type="dxa"/>
            <w:vAlign w:val="center"/>
          </w:tcPr>
          <w:p w14:paraId="05A3E2A1"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2008</w:t>
            </w:r>
          </w:p>
        </w:tc>
        <w:tc>
          <w:tcPr>
            <w:tcW w:w="659" w:type="dxa"/>
            <w:vAlign w:val="center"/>
          </w:tcPr>
          <w:p w14:paraId="7B39E38C"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2009</w:t>
            </w:r>
          </w:p>
        </w:tc>
        <w:tc>
          <w:tcPr>
            <w:tcW w:w="660" w:type="dxa"/>
            <w:vAlign w:val="center"/>
          </w:tcPr>
          <w:p w14:paraId="76DB6060"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2010</w:t>
            </w:r>
          </w:p>
        </w:tc>
        <w:tc>
          <w:tcPr>
            <w:tcW w:w="659" w:type="dxa"/>
            <w:vAlign w:val="center"/>
          </w:tcPr>
          <w:p w14:paraId="590D4014"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2011</w:t>
            </w:r>
          </w:p>
        </w:tc>
        <w:tc>
          <w:tcPr>
            <w:tcW w:w="659" w:type="dxa"/>
            <w:vAlign w:val="center"/>
          </w:tcPr>
          <w:p w14:paraId="6C602D2F"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2012</w:t>
            </w:r>
          </w:p>
        </w:tc>
        <w:tc>
          <w:tcPr>
            <w:tcW w:w="660" w:type="dxa"/>
            <w:vAlign w:val="center"/>
          </w:tcPr>
          <w:p w14:paraId="40B24FD2"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2013</w:t>
            </w:r>
          </w:p>
        </w:tc>
        <w:tc>
          <w:tcPr>
            <w:tcW w:w="659" w:type="dxa"/>
            <w:vAlign w:val="center"/>
          </w:tcPr>
          <w:p w14:paraId="13AD0CEC"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2014</w:t>
            </w:r>
          </w:p>
        </w:tc>
        <w:tc>
          <w:tcPr>
            <w:tcW w:w="659" w:type="dxa"/>
            <w:vAlign w:val="center"/>
          </w:tcPr>
          <w:p w14:paraId="70D58735"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2015</w:t>
            </w:r>
          </w:p>
        </w:tc>
        <w:tc>
          <w:tcPr>
            <w:tcW w:w="660" w:type="dxa"/>
            <w:vAlign w:val="center"/>
          </w:tcPr>
          <w:p w14:paraId="4AB0F56A"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2016</w:t>
            </w:r>
          </w:p>
        </w:tc>
        <w:tc>
          <w:tcPr>
            <w:tcW w:w="659" w:type="dxa"/>
            <w:vAlign w:val="center"/>
          </w:tcPr>
          <w:p w14:paraId="01C3B269"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2017</w:t>
            </w:r>
          </w:p>
        </w:tc>
        <w:tc>
          <w:tcPr>
            <w:tcW w:w="660" w:type="dxa"/>
            <w:vAlign w:val="center"/>
          </w:tcPr>
          <w:p w14:paraId="4BA023E3" w14:textId="77777777" w:rsidR="00D8380A" w:rsidRPr="001C558F" w:rsidRDefault="00D8380A" w:rsidP="001C558F">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rFonts w:asciiTheme="minorHAnsi" w:hAnsiTheme="minorHAnsi"/>
                <w:sz w:val="14"/>
                <w:szCs w:val="24"/>
              </w:rPr>
              <w:t>2018</w:t>
            </w:r>
          </w:p>
        </w:tc>
      </w:tr>
      <w:tr w:rsidR="001C558F" w:rsidRPr="001C558F" w14:paraId="0117F75E" w14:textId="77777777" w:rsidTr="001C558F">
        <w:tc>
          <w:tcPr>
            <w:cnfStyle w:val="001000000000" w:firstRow="0" w:lastRow="0" w:firstColumn="1" w:lastColumn="0" w:oddVBand="0" w:evenVBand="0" w:oddHBand="0" w:evenHBand="0" w:firstRowFirstColumn="0" w:firstRowLastColumn="0" w:lastRowFirstColumn="0" w:lastRowLastColumn="0"/>
            <w:tcW w:w="953" w:type="dxa"/>
          </w:tcPr>
          <w:p w14:paraId="25C2CFBD" w14:textId="4DA551B7" w:rsidR="001C558F" w:rsidRPr="001C558F" w:rsidRDefault="001C558F" w:rsidP="001C558F">
            <w:pPr>
              <w:keepNext/>
              <w:keepLines/>
              <w:spacing w:before="150" w:after="75" w:line="240" w:lineRule="auto"/>
              <w:textAlignment w:val="baseline"/>
              <w:rPr>
                <w:rFonts w:asciiTheme="minorHAnsi" w:hAnsiTheme="minorHAnsi"/>
                <w:sz w:val="14"/>
                <w:szCs w:val="24"/>
              </w:rPr>
            </w:pPr>
            <w:r w:rsidRPr="001C558F">
              <w:rPr>
                <w:rFonts w:asciiTheme="minorHAnsi" w:hAnsiTheme="minorHAnsi"/>
                <w:sz w:val="14"/>
                <w:szCs w:val="24"/>
              </w:rPr>
              <w:t>Overført</w:t>
            </w:r>
          </w:p>
        </w:tc>
        <w:tc>
          <w:tcPr>
            <w:tcW w:w="659" w:type="dxa"/>
          </w:tcPr>
          <w:p w14:paraId="3DA857C8" w14:textId="3EBFB600"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-3 595</w:t>
            </w:r>
          </w:p>
        </w:tc>
        <w:tc>
          <w:tcPr>
            <w:tcW w:w="659" w:type="dxa"/>
          </w:tcPr>
          <w:p w14:paraId="7E3C707D" w14:textId="6D7EF575"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-1 880</w:t>
            </w:r>
          </w:p>
        </w:tc>
        <w:tc>
          <w:tcPr>
            <w:tcW w:w="660" w:type="dxa"/>
          </w:tcPr>
          <w:p w14:paraId="6FB46DA2" w14:textId="7B1BA0A4"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-2 617</w:t>
            </w:r>
          </w:p>
        </w:tc>
        <w:tc>
          <w:tcPr>
            <w:tcW w:w="659" w:type="dxa"/>
          </w:tcPr>
          <w:p w14:paraId="77DED45D" w14:textId="766E9443"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-3 040</w:t>
            </w:r>
          </w:p>
        </w:tc>
        <w:tc>
          <w:tcPr>
            <w:tcW w:w="659" w:type="dxa"/>
          </w:tcPr>
          <w:p w14:paraId="3A85DF02" w14:textId="6B826BB0"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-1 671</w:t>
            </w:r>
          </w:p>
        </w:tc>
        <w:tc>
          <w:tcPr>
            <w:tcW w:w="660" w:type="dxa"/>
          </w:tcPr>
          <w:p w14:paraId="3CC926DE" w14:textId="54AF604F"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-1 714</w:t>
            </w:r>
          </w:p>
        </w:tc>
        <w:tc>
          <w:tcPr>
            <w:tcW w:w="659" w:type="dxa"/>
          </w:tcPr>
          <w:p w14:paraId="0BE4F602" w14:textId="36445EDD"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-230</w:t>
            </w:r>
          </w:p>
        </w:tc>
        <w:tc>
          <w:tcPr>
            <w:tcW w:w="659" w:type="dxa"/>
          </w:tcPr>
          <w:p w14:paraId="69BE58A8" w14:textId="042CE8DD"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4 602</w:t>
            </w:r>
          </w:p>
        </w:tc>
        <w:tc>
          <w:tcPr>
            <w:tcW w:w="660" w:type="dxa"/>
          </w:tcPr>
          <w:p w14:paraId="465C0C22" w14:textId="4C203960"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-1 090</w:t>
            </w:r>
          </w:p>
        </w:tc>
        <w:tc>
          <w:tcPr>
            <w:tcW w:w="659" w:type="dxa"/>
          </w:tcPr>
          <w:p w14:paraId="544A4BCB" w14:textId="180E6BDC"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3 903</w:t>
            </w:r>
          </w:p>
        </w:tc>
        <w:tc>
          <w:tcPr>
            <w:tcW w:w="659" w:type="dxa"/>
          </w:tcPr>
          <w:p w14:paraId="414A839C" w14:textId="1F5ABD3F"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6 814</w:t>
            </w:r>
          </w:p>
        </w:tc>
        <w:tc>
          <w:tcPr>
            <w:tcW w:w="660" w:type="dxa"/>
          </w:tcPr>
          <w:p w14:paraId="62A7E1D8" w14:textId="5CB21E85"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6 778</w:t>
            </w:r>
          </w:p>
        </w:tc>
        <w:tc>
          <w:tcPr>
            <w:tcW w:w="659" w:type="dxa"/>
          </w:tcPr>
          <w:p w14:paraId="5D900411" w14:textId="023451F6"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8 884</w:t>
            </w:r>
          </w:p>
        </w:tc>
        <w:tc>
          <w:tcPr>
            <w:tcW w:w="660" w:type="dxa"/>
          </w:tcPr>
          <w:p w14:paraId="78F8EFE4" w14:textId="1F13744E"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-279</w:t>
            </w:r>
          </w:p>
        </w:tc>
      </w:tr>
      <w:tr w:rsidR="001C558F" w:rsidRPr="001C558F" w14:paraId="36F66A54" w14:textId="77777777" w:rsidTr="001C558F">
        <w:tc>
          <w:tcPr>
            <w:cnfStyle w:val="001000000000" w:firstRow="0" w:lastRow="0" w:firstColumn="1" w:lastColumn="0" w:oddVBand="0" w:evenVBand="0" w:oddHBand="0" w:evenHBand="0" w:firstRowFirstColumn="0" w:firstRowLastColumn="0" w:lastRowFirstColumn="0" w:lastRowLastColumn="0"/>
            <w:tcW w:w="953" w:type="dxa"/>
          </w:tcPr>
          <w:p w14:paraId="0F79763E" w14:textId="06B6ECE2" w:rsidR="001C558F" w:rsidRPr="001C558F" w:rsidRDefault="001C558F" w:rsidP="001C558F">
            <w:pPr>
              <w:keepNext/>
              <w:keepLines/>
              <w:spacing w:before="150" w:after="75" w:line="240" w:lineRule="auto"/>
              <w:textAlignment w:val="baseline"/>
              <w:rPr>
                <w:rFonts w:asciiTheme="minorHAnsi" w:hAnsiTheme="minorHAnsi"/>
                <w:sz w:val="14"/>
                <w:szCs w:val="24"/>
              </w:rPr>
            </w:pPr>
            <w:r w:rsidRPr="001C558F">
              <w:rPr>
                <w:rFonts w:asciiTheme="minorHAnsi" w:hAnsiTheme="minorHAnsi"/>
                <w:sz w:val="14"/>
                <w:szCs w:val="24"/>
              </w:rPr>
              <w:t>Inntekter</w:t>
            </w:r>
          </w:p>
        </w:tc>
        <w:tc>
          <w:tcPr>
            <w:tcW w:w="659" w:type="dxa"/>
          </w:tcPr>
          <w:p w14:paraId="41B9D8A1" w14:textId="617B9E88"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-9 958</w:t>
            </w:r>
          </w:p>
        </w:tc>
        <w:tc>
          <w:tcPr>
            <w:tcW w:w="659" w:type="dxa"/>
          </w:tcPr>
          <w:p w14:paraId="11B86EFF" w14:textId="19FAE1DF"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-13 623</w:t>
            </w:r>
          </w:p>
        </w:tc>
        <w:tc>
          <w:tcPr>
            <w:tcW w:w="660" w:type="dxa"/>
          </w:tcPr>
          <w:p w14:paraId="6B86E7FA" w14:textId="54B90A8D"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-16 891</w:t>
            </w:r>
          </w:p>
        </w:tc>
        <w:tc>
          <w:tcPr>
            <w:tcW w:w="659" w:type="dxa"/>
          </w:tcPr>
          <w:p w14:paraId="317E5CA1" w14:textId="18712AB4"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-18 277</w:t>
            </w:r>
          </w:p>
        </w:tc>
        <w:tc>
          <w:tcPr>
            <w:tcW w:w="659" w:type="dxa"/>
          </w:tcPr>
          <w:p w14:paraId="57B45B3D" w14:textId="71B60CE4"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-20 500</w:t>
            </w:r>
          </w:p>
        </w:tc>
        <w:tc>
          <w:tcPr>
            <w:tcW w:w="660" w:type="dxa"/>
          </w:tcPr>
          <w:p w14:paraId="3D1D0954" w14:textId="1DB47736"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-16 177</w:t>
            </w:r>
          </w:p>
        </w:tc>
        <w:tc>
          <w:tcPr>
            <w:tcW w:w="659" w:type="dxa"/>
          </w:tcPr>
          <w:p w14:paraId="1DFBB103" w14:textId="612F82AA"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-15 816</w:t>
            </w:r>
          </w:p>
        </w:tc>
        <w:tc>
          <w:tcPr>
            <w:tcW w:w="659" w:type="dxa"/>
          </w:tcPr>
          <w:p w14:paraId="5BC27D3B" w14:textId="0752BC23"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-23 945</w:t>
            </w:r>
          </w:p>
        </w:tc>
        <w:tc>
          <w:tcPr>
            <w:tcW w:w="660" w:type="dxa"/>
          </w:tcPr>
          <w:p w14:paraId="4F4B22AA" w14:textId="347D2182"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-16 893</w:t>
            </w:r>
          </w:p>
        </w:tc>
        <w:tc>
          <w:tcPr>
            <w:tcW w:w="659" w:type="dxa"/>
          </w:tcPr>
          <w:p w14:paraId="107DB29F" w14:textId="75819074"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-17 356</w:t>
            </w:r>
          </w:p>
        </w:tc>
        <w:tc>
          <w:tcPr>
            <w:tcW w:w="659" w:type="dxa"/>
          </w:tcPr>
          <w:p w14:paraId="413A2F97" w14:textId="501BBE56"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-17 912</w:t>
            </w:r>
          </w:p>
        </w:tc>
        <w:tc>
          <w:tcPr>
            <w:tcW w:w="660" w:type="dxa"/>
          </w:tcPr>
          <w:p w14:paraId="704085AD" w14:textId="6C31C402"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-18 688</w:t>
            </w:r>
          </w:p>
        </w:tc>
        <w:tc>
          <w:tcPr>
            <w:tcW w:w="659" w:type="dxa"/>
          </w:tcPr>
          <w:p w14:paraId="7655252C" w14:textId="5447E550"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-33 394</w:t>
            </w:r>
          </w:p>
        </w:tc>
        <w:tc>
          <w:tcPr>
            <w:tcW w:w="660" w:type="dxa"/>
          </w:tcPr>
          <w:p w14:paraId="3B7FF568" w14:textId="420671DA"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-23 365</w:t>
            </w:r>
          </w:p>
        </w:tc>
      </w:tr>
      <w:tr w:rsidR="001C558F" w:rsidRPr="001C558F" w14:paraId="70E66328" w14:textId="77777777" w:rsidTr="001C558F">
        <w:tc>
          <w:tcPr>
            <w:cnfStyle w:val="001000000000" w:firstRow="0" w:lastRow="0" w:firstColumn="1" w:lastColumn="0" w:oddVBand="0" w:evenVBand="0" w:oddHBand="0" w:evenHBand="0" w:firstRowFirstColumn="0" w:firstRowLastColumn="0" w:lastRowFirstColumn="0" w:lastRowLastColumn="0"/>
            <w:tcW w:w="953" w:type="dxa"/>
          </w:tcPr>
          <w:p w14:paraId="330E8D69" w14:textId="32C2873F" w:rsidR="001C558F" w:rsidRPr="001C558F" w:rsidRDefault="001C558F" w:rsidP="001C558F">
            <w:pPr>
              <w:keepNext/>
              <w:keepLines/>
              <w:spacing w:before="150" w:after="75" w:line="240" w:lineRule="auto"/>
              <w:textAlignment w:val="baseline"/>
              <w:rPr>
                <w:rFonts w:asciiTheme="minorHAnsi" w:hAnsiTheme="minorHAnsi"/>
                <w:sz w:val="14"/>
                <w:szCs w:val="24"/>
              </w:rPr>
            </w:pPr>
            <w:r w:rsidRPr="001C558F">
              <w:rPr>
                <w:rFonts w:asciiTheme="minorHAnsi" w:hAnsiTheme="minorHAnsi"/>
                <w:sz w:val="14"/>
                <w:szCs w:val="24"/>
              </w:rPr>
              <w:t>Personal</w:t>
            </w:r>
          </w:p>
        </w:tc>
        <w:tc>
          <w:tcPr>
            <w:tcW w:w="659" w:type="dxa"/>
          </w:tcPr>
          <w:p w14:paraId="5053CEE8" w14:textId="0C4A97CF"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9 223</w:t>
            </w:r>
          </w:p>
        </w:tc>
        <w:tc>
          <w:tcPr>
            <w:tcW w:w="659" w:type="dxa"/>
          </w:tcPr>
          <w:p w14:paraId="3A358B59" w14:textId="24AE8AFC"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9 379</w:t>
            </w:r>
          </w:p>
        </w:tc>
        <w:tc>
          <w:tcPr>
            <w:tcW w:w="660" w:type="dxa"/>
          </w:tcPr>
          <w:p w14:paraId="332FB2D8" w14:textId="5716B485"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10 681</w:t>
            </w:r>
          </w:p>
        </w:tc>
        <w:tc>
          <w:tcPr>
            <w:tcW w:w="659" w:type="dxa"/>
          </w:tcPr>
          <w:p w14:paraId="47ECD652" w14:textId="1D183D64"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13 325</w:t>
            </w:r>
          </w:p>
        </w:tc>
        <w:tc>
          <w:tcPr>
            <w:tcW w:w="659" w:type="dxa"/>
          </w:tcPr>
          <w:p w14:paraId="63E6D710" w14:textId="45F7EE75"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15 825</w:t>
            </w:r>
          </w:p>
        </w:tc>
        <w:tc>
          <w:tcPr>
            <w:tcW w:w="660" w:type="dxa"/>
          </w:tcPr>
          <w:p w14:paraId="29D56166" w14:textId="5383E322"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15 795</w:t>
            </w:r>
          </w:p>
        </w:tc>
        <w:tc>
          <w:tcPr>
            <w:tcW w:w="659" w:type="dxa"/>
          </w:tcPr>
          <w:p w14:paraId="7A063EB2" w14:textId="05AD6706"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16 589</w:t>
            </w:r>
          </w:p>
        </w:tc>
        <w:tc>
          <w:tcPr>
            <w:tcW w:w="659" w:type="dxa"/>
          </w:tcPr>
          <w:p w14:paraId="5CA03F27" w14:textId="6855F239"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15 128</w:t>
            </w:r>
          </w:p>
        </w:tc>
        <w:tc>
          <w:tcPr>
            <w:tcW w:w="660" w:type="dxa"/>
          </w:tcPr>
          <w:p w14:paraId="0AA3AB30" w14:textId="443A5284"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17 403</w:t>
            </w:r>
          </w:p>
        </w:tc>
        <w:tc>
          <w:tcPr>
            <w:tcW w:w="659" w:type="dxa"/>
          </w:tcPr>
          <w:p w14:paraId="43EB191E" w14:textId="0C7C7BAE"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16 672</w:t>
            </w:r>
          </w:p>
        </w:tc>
        <w:tc>
          <w:tcPr>
            <w:tcW w:w="659" w:type="dxa"/>
          </w:tcPr>
          <w:p w14:paraId="2D2F7515" w14:textId="1EA18101"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14 953</w:t>
            </w:r>
          </w:p>
        </w:tc>
        <w:tc>
          <w:tcPr>
            <w:tcW w:w="660" w:type="dxa"/>
          </w:tcPr>
          <w:p w14:paraId="10AB70A9" w14:textId="34DEBF15"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16 955</w:t>
            </w:r>
          </w:p>
        </w:tc>
        <w:tc>
          <w:tcPr>
            <w:tcW w:w="659" w:type="dxa"/>
          </w:tcPr>
          <w:p w14:paraId="1C0DC88E" w14:textId="6055598D"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20 267</w:t>
            </w:r>
          </w:p>
        </w:tc>
        <w:tc>
          <w:tcPr>
            <w:tcW w:w="660" w:type="dxa"/>
          </w:tcPr>
          <w:p w14:paraId="57D3BC29" w14:textId="455956A8"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22 584</w:t>
            </w:r>
          </w:p>
        </w:tc>
      </w:tr>
      <w:tr w:rsidR="001C558F" w:rsidRPr="001C558F" w14:paraId="54E2B2AE" w14:textId="77777777" w:rsidTr="001C558F">
        <w:tc>
          <w:tcPr>
            <w:cnfStyle w:val="001000000000" w:firstRow="0" w:lastRow="0" w:firstColumn="1" w:lastColumn="0" w:oddVBand="0" w:evenVBand="0" w:oddHBand="0" w:evenHBand="0" w:firstRowFirstColumn="0" w:firstRowLastColumn="0" w:lastRowFirstColumn="0" w:lastRowLastColumn="0"/>
            <w:tcW w:w="953" w:type="dxa"/>
          </w:tcPr>
          <w:p w14:paraId="02D71F55" w14:textId="1355DA8C" w:rsidR="001C558F" w:rsidRPr="001C558F" w:rsidRDefault="001C558F" w:rsidP="001C558F">
            <w:pPr>
              <w:keepNext/>
              <w:keepLines/>
              <w:spacing w:before="150" w:after="75" w:line="240" w:lineRule="auto"/>
              <w:textAlignment w:val="baseline"/>
              <w:rPr>
                <w:rFonts w:asciiTheme="minorHAnsi" w:hAnsiTheme="minorHAnsi"/>
                <w:sz w:val="14"/>
                <w:szCs w:val="24"/>
              </w:rPr>
            </w:pPr>
            <w:r w:rsidRPr="001C558F">
              <w:rPr>
                <w:rFonts w:asciiTheme="minorHAnsi" w:hAnsiTheme="minorHAnsi"/>
                <w:sz w:val="14"/>
                <w:szCs w:val="24"/>
              </w:rPr>
              <w:t>Drift</w:t>
            </w:r>
          </w:p>
        </w:tc>
        <w:tc>
          <w:tcPr>
            <w:tcW w:w="659" w:type="dxa"/>
          </w:tcPr>
          <w:p w14:paraId="11D9A8DE" w14:textId="0F5E3C1B"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2 521</w:t>
            </w:r>
          </w:p>
        </w:tc>
        <w:tc>
          <w:tcPr>
            <w:tcW w:w="659" w:type="dxa"/>
          </w:tcPr>
          <w:p w14:paraId="66300DD6" w14:textId="2D349FD1"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3 476</w:t>
            </w:r>
          </w:p>
        </w:tc>
        <w:tc>
          <w:tcPr>
            <w:tcW w:w="660" w:type="dxa"/>
          </w:tcPr>
          <w:p w14:paraId="5C8FBCA2" w14:textId="56E3DDC1"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5 461</w:t>
            </w:r>
          </w:p>
        </w:tc>
        <w:tc>
          <w:tcPr>
            <w:tcW w:w="659" w:type="dxa"/>
          </w:tcPr>
          <w:p w14:paraId="1144704A" w14:textId="7EBF243A"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6 027</w:t>
            </w:r>
          </w:p>
        </w:tc>
        <w:tc>
          <w:tcPr>
            <w:tcW w:w="659" w:type="dxa"/>
          </w:tcPr>
          <w:p w14:paraId="09948DC5" w14:textId="05DDD396"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7 095</w:t>
            </w:r>
          </w:p>
        </w:tc>
        <w:tc>
          <w:tcPr>
            <w:tcW w:w="660" w:type="dxa"/>
          </w:tcPr>
          <w:p w14:paraId="230F6B9A" w14:textId="2A0AE78D"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3 261</w:t>
            </w:r>
          </w:p>
        </w:tc>
        <w:tc>
          <w:tcPr>
            <w:tcW w:w="659" w:type="dxa"/>
          </w:tcPr>
          <w:p w14:paraId="219FACCB" w14:textId="7F61DFB0"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3 805</w:t>
            </w:r>
          </w:p>
        </w:tc>
        <w:tc>
          <w:tcPr>
            <w:tcW w:w="659" w:type="dxa"/>
          </w:tcPr>
          <w:p w14:paraId="05B4A3EB" w14:textId="68CF707A"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2 918</w:t>
            </w:r>
          </w:p>
        </w:tc>
        <w:tc>
          <w:tcPr>
            <w:tcW w:w="660" w:type="dxa"/>
          </w:tcPr>
          <w:p w14:paraId="7E011C60" w14:textId="791AD6CD"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4 414</w:t>
            </w:r>
          </w:p>
        </w:tc>
        <w:tc>
          <w:tcPr>
            <w:tcW w:w="659" w:type="dxa"/>
          </w:tcPr>
          <w:p w14:paraId="0BAA7CF3" w14:textId="15AF788D"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3 483</w:t>
            </w:r>
          </w:p>
        </w:tc>
        <w:tc>
          <w:tcPr>
            <w:tcW w:w="659" w:type="dxa"/>
          </w:tcPr>
          <w:p w14:paraId="26882350" w14:textId="07B0794A"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2 897</w:t>
            </w:r>
          </w:p>
        </w:tc>
        <w:tc>
          <w:tcPr>
            <w:tcW w:w="660" w:type="dxa"/>
          </w:tcPr>
          <w:p w14:paraId="4FBF6DE8" w14:textId="1829CAFA"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3 705</w:t>
            </w:r>
          </w:p>
        </w:tc>
        <w:tc>
          <w:tcPr>
            <w:tcW w:w="659" w:type="dxa"/>
          </w:tcPr>
          <w:p w14:paraId="7DE83FCF" w14:textId="165C8A0D"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3 847</w:t>
            </w:r>
          </w:p>
        </w:tc>
        <w:tc>
          <w:tcPr>
            <w:tcW w:w="660" w:type="dxa"/>
          </w:tcPr>
          <w:p w14:paraId="51E4E2EE" w14:textId="7728D528"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4 709</w:t>
            </w:r>
          </w:p>
        </w:tc>
      </w:tr>
      <w:tr w:rsidR="001C558F" w:rsidRPr="001C558F" w14:paraId="1194613F" w14:textId="77777777" w:rsidTr="001C558F">
        <w:tc>
          <w:tcPr>
            <w:cnfStyle w:val="001000000000" w:firstRow="0" w:lastRow="0" w:firstColumn="1" w:lastColumn="0" w:oddVBand="0" w:evenVBand="0" w:oddHBand="0" w:evenHBand="0" w:firstRowFirstColumn="0" w:firstRowLastColumn="0" w:lastRowFirstColumn="0" w:lastRowLastColumn="0"/>
            <w:tcW w:w="953" w:type="dxa"/>
          </w:tcPr>
          <w:p w14:paraId="2659E04C" w14:textId="56AA31EE" w:rsidR="001C558F" w:rsidRPr="001C558F" w:rsidRDefault="001C558F" w:rsidP="001C558F">
            <w:pPr>
              <w:keepNext/>
              <w:keepLines/>
              <w:spacing w:before="150" w:after="75" w:line="240" w:lineRule="auto"/>
              <w:textAlignment w:val="baseline"/>
              <w:rPr>
                <w:rFonts w:asciiTheme="minorHAnsi" w:hAnsiTheme="minorHAnsi"/>
                <w:sz w:val="14"/>
                <w:szCs w:val="24"/>
              </w:rPr>
            </w:pPr>
            <w:r w:rsidRPr="001C558F">
              <w:rPr>
                <w:rFonts w:asciiTheme="minorHAnsi" w:hAnsiTheme="minorHAnsi"/>
                <w:sz w:val="14"/>
                <w:szCs w:val="24"/>
              </w:rPr>
              <w:t>Investering</w:t>
            </w:r>
          </w:p>
        </w:tc>
        <w:tc>
          <w:tcPr>
            <w:tcW w:w="659" w:type="dxa"/>
          </w:tcPr>
          <w:p w14:paraId="60FE9DE5" w14:textId="6349F313"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42</w:t>
            </w:r>
          </w:p>
        </w:tc>
        <w:tc>
          <w:tcPr>
            <w:tcW w:w="659" w:type="dxa"/>
          </w:tcPr>
          <w:p w14:paraId="22FC55AD" w14:textId="26FF0F9F"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p>
        </w:tc>
        <w:tc>
          <w:tcPr>
            <w:tcW w:w="660" w:type="dxa"/>
          </w:tcPr>
          <w:p w14:paraId="456F8E83" w14:textId="057AB122"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326</w:t>
            </w:r>
          </w:p>
        </w:tc>
        <w:tc>
          <w:tcPr>
            <w:tcW w:w="659" w:type="dxa"/>
          </w:tcPr>
          <w:p w14:paraId="63BB0810" w14:textId="032F4C91"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294</w:t>
            </w:r>
          </w:p>
        </w:tc>
        <w:tc>
          <w:tcPr>
            <w:tcW w:w="659" w:type="dxa"/>
          </w:tcPr>
          <w:p w14:paraId="19312ACD" w14:textId="3104F8E8"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61</w:t>
            </w:r>
          </w:p>
        </w:tc>
        <w:tc>
          <w:tcPr>
            <w:tcW w:w="660" w:type="dxa"/>
          </w:tcPr>
          <w:p w14:paraId="0E43BDE9" w14:textId="3994BA2E"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73</w:t>
            </w:r>
          </w:p>
        </w:tc>
        <w:tc>
          <w:tcPr>
            <w:tcW w:w="659" w:type="dxa"/>
          </w:tcPr>
          <w:p w14:paraId="57D95967" w14:textId="282CC7D0"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95</w:t>
            </w:r>
          </w:p>
        </w:tc>
        <w:tc>
          <w:tcPr>
            <w:tcW w:w="659" w:type="dxa"/>
          </w:tcPr>
          <w:p w14:paraId="4847A261" w14:textId="10930EA7"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207</w:t>
            </w:r>
          </w:p>
        </w:tc>
        <w:tc>
          <w:tcPr>
            <w:tcW w:w="660" w:type="dxa"/>
          </w:tcPr>
          <w:p w14:paraId="7F2D3488" w14:textId="18E12519"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69</w:t>
            </w:r>
          </w:p>
        </w:tc>
        <w:tc>
          <w:tcPr>
            <w:tcW w:w="659" w:type="dxa"/>
          </w:tcPr>
          <w:p w14:paraId="044548AF" w14:textId="3F01A0E5"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112</w:t>
            </w:r>
          </w:p>
        </w:tc>
        <w:tc>
          <w:tcPr>
            <w:tcW w:w="659" w:type="dxa"/>
          </w:tcPr>
          <w:p w14:paraId="71021E0A" w14:textId="06A30776"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28</w:t>
            </w:r>
          </w:p>
        </w:tc>
        <w:tc>
          <w:tcPr>
            <w:tcW w:w="660" w:type="dxa"/>
          </w:tcPr>
          <w:p w14:paraId="794755DF" w14:textId="44118CAC"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134</w:t>
            </w:r>
          </w:p>
        </w:tc>
        <w:tc>
          <w:tcPr>
            <w:tcW w:w="659" w:type="dxa"/>
          </w:tcPr>
          <w:p w14:paraId="40B6501C" w14:textId="103D7439"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117</w:t>
            </w:r>
          </w:p>
        </w:tc>
        <w:tc>
          <w:tcPr>
            <w:tcW w:w="660" w:type="dxa"/>
          </w:tcPr>
          <w:p w14:paraId="2D2C2501" w14:textId="4245895F"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119</w:t>
            </w:r>
          </w:p>
        </w:tc>
      </w:tr>
      <w:tr w:rsidR="001C558F" w:rsidRPr="001C558F" w14:paraId="07BA78FB" w14:textId="77777777" w:rsidTr="001C558F">
        <w:trPr>
          <w:trHeight w:val="138"/>
        </w:trPr>
        <w:tc>
          <w:tcPr>
            <w:cnfStyle w:val="001000000000" w:firstRow="0" w:lastRow="0" w:firstColumn="1" w:lastColumn="0" w:oddVBand="0" w:evenVBand="0" w:oddHBand="0" w:evenHBand="0" w:firstRowFirstColumn="0" w:firstRowLastColumn="0" w:lastRowFirstColumn="0" w:lastRowLastColumn="0"/>
            <w:tcW w:w="953" w:type="dxa"/>
          </w:tcPr>
          <w:p w14:paraId="0463651D" w14:textId="0D5C0234" w:rsidR="001C558F" w:rsidRPr="001C558F" w:rsidRDefault="001C558F" w:rsidP="001C558F">
            <w:pPr>
              <w:keepNext/>
              <w:keepLines/>
              <w:spacing w:before="150" w:after="75" w:line="240" w:lineRule="auto"/>
              <w:textAlignment w:val="baseline"/>
              <w:rPr>
                <w:rFonts w:asciiTheme="minorHAnsi" w:hAnsiTheme="minorHAnsi"/>
                <w:sz w:val="14"/>
                <w:szCs w:val="24"/>
              </w:rPr>
            </w:pPr>
            <w:r w:rsidRPr="001C558F">
              <w:rPr>
                <w:rFonts w:asciiTheme="minorHAnsi" w:hAnsiTheme="minorHAnsi"/>
                <w:sz w:val="14"/>
                <w:szCs w:val="24"/>
              </w:rPr>
              <w:t>Resultat</w:t>
            </w:r>
          </w:p>
        </w:tc>
        <w:tc>
          <w:tcPr>
            <w:tcW w:w="659" w:type="dxa"/>
          </w:tcPr>
          <w:p w14:paraId="742AB7FD" w14:textId="0BD3C153"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1 827</w:t>
            </w:r>
          </w:p>
        </w:tc>
        <w:tc>
          <w:tcPr>
            <w:tcW w:w="659" w:type="dxa"/>
          </w:tcPr>
          <w:p w14:paraId="25E1566E" w14:textId="4B5DC77D"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-767</w:t>
            </w:r>
          </w:p>
        </w:tc>
        <w:tc>
          <w:tcPr>
            <w:tcW w:w="660" w:type="dxa"/>
          </w:tcPr>
          <w:p w14:paraId="50BD74A1" w14:textId="0A4A859F"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-423</w:t>
            </w:r>
          </w:p>
        </w:tc>
        <w:tc>
          <w:tcPr>
            <w:tcW w:w="659" w:type="dxa"/>
          </w:tcPr>
          <w:p w14:paraId="0F3026F3" w14:textId="35272435"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1 369</w:t>
            </w:r>
          </w:p>
        </w:tc>
        <w:tc>
          <w:tcPr>
            <w:tcW w:w="659" w:type="dxa"/>
          </w:tcPr>
          <w:p w14:paraId="4552DF51" w14:textId="0299E9B8"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2 481</w:t>
            </w:r>
          </w:p>
        </w:tc>
        <w:tc>
          <w:tcPr>
            <w:tcW w:w="660" w:type="dxa"/>
          </w:tcPr>
          <w:p w14:paraId="174DF242" w14:textId="732FBAAA"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2 951</w:t>
            </w:r>
          </w:p>
        </w:tc>
        <w:tc>
          <w:tcPr>
            <w:tcW w:w="659" w:type="dxa"/>
          </w:tcPr>
          <w:p w14:paraId="24537A90" w14:textId="1D1B5A16"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4 673</w:t>
            </w:r>
          </w:p>
        </w:tc>
        <w:tc>
          <w:tcPr>
            <w:tcW w:w="659" w:type="dxa"/>
          </w:tcPr>
          <w:p w14:paraId="31919CB6" w14:textId="05B08C5C"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-5 692</w:t>
            </w:r>
          </w:p>
        </w:tc>
        <w:tc>
          <w:tcPr>
            <w:tcW w:w="660" w:type="dxa"/>
          </w:tcPr>
          <w:p w14:paraId="3A35C703" w14:textId="2458AAEE"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4 993</w:t>
            </w:r>
          </w:p>
        </w:tc>
        <w:tc>
          <w:tcPr>
            <w:tcW w:w="659" w:type="dxa"/>
          </w:tcPr>
          <w:p w14:paraId="3C209036" w14:textId="7EF228E2"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2 911</w:t>
            </w:r>
          </w:p>
        </w:tc>
        <w:tc>
          <w:tcPr>
            <w:tcW w:w="659" w:type="dxa"/>
          </w:tcPr>
          <w:p w14:paraId="48494474" w14:textId="38F96FE6"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-34</w:t>
            </w:r>
          </w:p>
        </w:tc>
        <w:tc>
          <w:tcPr>
            <w:tcW w:w="660" w:type="dxa"/>
          </w:tcPr>
          <w:p w14:paraId="3DD3F201" w14:textId="32CA8323"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2 106</w:t>
            </w:r>
          </w:p>
        </w:tc>
        <w:tc>
          <w:tcPr>
            <w:tcW w:w="659" w:type="dxa"/>
          </w:tcPr>
          <w:p w14:paraId="06F7DE5E" w14:textId="3C877F9A"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-9 163</w:t>
            </w:r>
          </w:p>
        </w:tc>
        <w:tc>
          <w:tcPr>
            <w:tcW w:w="660" w:type="dxa"/>
          </w:tcPr>
          <w:p w14:paraId="6E1A72FE" w14:textId="1A7238E1" w:rsidR="001C558F" w:rsidRPr="001C558F" w:rsidRDefault="001C558F" w:rsidP="001C558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4 047</w:t>
            </w:r>
          </w:p>
        </w:tc>
      </w:tr>
      <w:tr w:rsidR="001C558F" w:rsidRPr="001C558F" w14:paraId="60EE6C0C" w14:textId="77777777" w:rsidTr="001C558F">
        <w:trPr>
          <w:cnfStyle w:val="010000000000" w:firstRow="0" w:lastRow="1"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953" w:type="dxa"/>
          </w:tcPr>
          <w:p w14:paraId="6B162560" w14:textId="698E47BE" w:rsidR="001C558F" w:rsidRPr="001C558F" w:rsidRDefault="001C558F" w:rsidP="001C558F">
            <w:pPr>
              <w:keepNext/>
              <w:keepLines/>
              <w:spacing w:before="150" w:after="75" w:line="240" w:lineRule="auto"/>
              <w:textAlignment w:val="baseline"/>
              <w:rPr>
                <w:rFonts w:asciiTheme="minorHAnsi" w:hAnsiTheme="minorHAnsi"/>
                <w:sz w:val="14"/>
                <w:szCs w:val="24"/>
              </w:rPr>
            </w:pPr>
            <w:r w:rsidRPr="001C558F">
              <w:rPr>
                <w:rFonts w:asciiTheme="minorHAnsi" w:hAnsiTheme="minorHAnsi"/>
                <w:sz w:val="14"/>
                <w:szCs w:val="24"/>
              </w:rPr>
              <w:t>Akkumulert</w:t>
            </w:r>
          </w:p>
        </w:tc>
        <w:tc>
          <w:tcPr>
            <w:tcW w:w="659" w:type="dxa"/>
          </w:tcPr>
          <w:p w14:paraId="4BA4BB6D" w14:textId="2AFCC623"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-1 768</w:t>
            </w:r>
          </w:p>
        </w:tc>
        <w:tc>
          <w:tcPr>
            <w:tcW w:w="659" w:type="dxa"/>
          </w:tcPr>
          <w:p w14:paraId="09B71FA4" w14:textId="3E4A019C"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-2 648</w:t>
            </w:r>
          </w:p>
        </w:tc>
        <w:tc>
          <w:tcPr>
            <w:tcW w:w="660" w:type="dxa"/>
          </w:tcPr>
          <w:p w14:paraId="51457E4A" w14:textId="382C8FCB"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-3 040</w:t>
            </w:r>
          </w:p>
        </w:tc>
        <w:tc>
          <w:tcPr>
            <w:tcW w:w="659" w:type="dxa"/>
          </w:tcPr>
          <w:p w14:paraId="720AC10F" w14:textId="20953B96"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-1 671</w:t>
            </w:r>
          </w:p>
        </w:tc>
        <w:tc>
          <w:tcPr>
            <w:tcW w:w="659" w:type="dxa"/>
          </w:tcPr>
          <w:p w14:paraId="219D5709" w14:textId="181B9EFE"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810</w:t>
            </w:r>
          </w:p>
        </w:tc>
        <w:tc>
          <w:tcPr>
            <w:tcW w:w="660" w:type="dxa"/>
          </w:tcPr>
          <w:p w14:paraId="2C20AE0A" w14:textId="76AF4445"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1 237</w:t>
            </w:r>
          </w:p>
        </w:tc>
        <w:tc>
          <w:tcPr>
            <w:tcW w:w="659" w:type="dxa"/>
          </w:tcPr>
          <w:p w14:paraId="7CC19131" w14:textId="3CDB0EA4"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4 443</w:t>
            </w:r>
          </w:p>
        </w:tc>
        <w:tc>
          <w:tcPr>
            <w:tcW w:w="659" w:type="dxa"/>
          </w:tcPr>
          <w:p w14:paraId="28EC03A8" w14:textId="3ACD81EB"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-1 090</w:t>
            </w:r>
          </w:p>
        </w:tc>
        <w:tc>
          <w:tcPr>
            <w:tcW w:w="660" w:type="dxa"/>
          </w:tcPr>
          <w:p w14:paraId="01550B71" w14:textId="78FDF420"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3 903</w:t>
            </w:r>
          </w:p>
        </w:tc>
        <w:tc>
          <w:tcPr>
            <w:tcW w:w="659" w:type="dxa"/>
          </w:tcPr>
          <w:p w14:paraId="36A4A580" w14:textId="418B7513"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6 814</w:t>
            </w:r>
          </w:p>
        </w:tc>
        <w:tc>
          <w:tcPr>
            <w:tcW w:w="659" w:type="dxa"/>
          </w:tcPr>
          <w:p w14:paraId="656DE2DC" w14:textId="1E1720B6"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6 781</w:t>
            </w:r>
          </w:p>
        </w:tc>
        <w:tc>
          <w:tcPr>
            <w:tcW w:w="660" w:type="dxa"/>
          </w:tcPr>
          <w:p w14:paraId="43A5028A" w14:textId="784EB28A"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8 884</w:t>
            </w:r>
          </w:p>
        </w:tc>
        <w:tc>
          <w:tcPr>
            <w:tcW w:w="659" w:type="dxa"/>
          </w:tcPr>
          <w:p w14:paraId="2C5F4233" w14:textId="7E2462D2"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-279</w:t>
            </w:r>
          </w:p>
        </w:tc>
        <w:tc>
          <w:tcPr>
            <w:tcW w:w="660" w:type="dxa"/>
          </w:tcPr>
          <w:p w14:paraId="5D7B5EBD" w14:textId="54F01AE2" w:rsidR="001C558F" w:rsidRPr="001C558F" w:rsidRDefault="001C558F" w:rsidP="001C558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1C558F">
              <w:rPr>
                <w:sz w:val="14"/>
              </w:rPr>
              <w:t>3 768</w:t>
            </w:r>
          </w:p>
        </w:tc>
      </w:tr>
    </w:tbl>
    <w:p w14:paraId="2D3D99A0" w14:textId="77777777" w:rsidR="001F3FF6" w:rsidRDefault="001F3FF6" w:rsidP="00DF26A6">
      <w:pPr>
        <w:autoSpaceDE w:val="0"/>
        <w:autoSpaceDN w:val="0"/>
        <w:adjustRightInd w:val="0"/>
        <w:spacing w:after="0" w:line="240" w:lineRule="auto"/>
        <w:rPr>
          <w:rFonts w:ascii="Times New Roman" w:hAnsi="Times New Roman"/>
          <w:b/>
          <w:bCs/>
          <w:i/>
          <w:iCs/>
          <w:sz w:val="24"/>
          <w:szCs w:val="24"/>
        </w:rPr>
      </w:pPr>
    </w:p>
    <w:p w14:paraId="2F3B4FA4" w14:textId="0C138BF5" w:rsidR="00DF26A6" w:rsidRPr="00CB78DD" w:rsidRDefault="00DF26A6" w:rsidP="00A55C48">
      <w:pPr>
        <w:pStyle w:val="Heading2"/>
      </w:pPr>
      <w:r w:rsidRPr="00CB78DD">
        <w:t>TIK</w:t>
      </w:r>
    </w:p>
    <w:p w14:paraId="524982C3" w14:textId="504D9A34" w:rsidR="00DF26A6" w:rsidRPr="00CB78DD" w:rsidRDefault="00DF26A6" w:rsidP="007F67DB">
      <w:pPr>
        <w:pStyle w:val="BodyText"/>
      </w:pPr>
      <w:r w:rsidRPr="00CB78DD">
        <w:t xml:space="preserve">TIK-senteret ble opprettet i 1998 av det Akademiske Kollegium (nå Universitetsstyret) som et permanent senter med faste undervisningsoppgaver, et eget styre og et tverrfaglig mandat. TIK </w:t>
      </w:r>
      <w:r w:rsidR="00A55C48">
        <w:t>va</w:t>
      </w:r>
      <w:r w:rsidRPr="00CB78DD">
        <w:t>r en sammenslåing av Senter for teknologi og menneskelige verdier (TMV), Society, Science and Technology in Europe (ESST) og Prosjektforum. TMV ble opprettet som et tverrfaglig senter gjennom statsbudsjettet</w:t>
      </w:r>
      <w:r>
        <w:t xml:space="preserve"> i 1987-88 og overført fra Norges</w:t>
      </w:r>
      <w:r w:rsidRPr="00CB78DD">
        <w:t xml:space="preserve"> a</w:t>
      </w:r>
      <w:r>
        <w:t>l</w:t>
      </w:r>
      <w:r w:rsidRPr="00CB78DD">
        <w:t>lme</w:t>
      </w:r>
      <w:r>
        <w:t>n</w:t>
      </w:r>
      <w:r w:rsidRPr="00CB78DD">
        <w:t>nvitenskapelige forskningsråd (NAVF) til UiO i 1994 med tilhørende midler. Ved å ivareta sitt mandat</w:t>
      </w:r>
      <w:r w:rsidR="00AF11AF">
        <w:t>,</w:t>
      </w:r>
      <w:r w:rsidRPr="00CB78DD">
        <w:t xml:space="preserve"> bidrar TIK til å realisere UiOs mål om grensesprengende og tverrfaglig forskn</w:t>
      </w:r>
      <w:r>
        <w:t xml:space="preserve">ing, utdanning og formidling. </w:t>
      </w:r>
    </w:p>
    <w:p w14:paraId="191406A2" w14:textId="571F2B21" w:rsidR="00DF26A6" w:rsidRPr="00A55C48" w:rsidRDefault="00DF26A6" w:rsidP="007F67DB">
      <w:pPr>
        <w:pStyle w:val="BodyText"/>
      </w:pPr>
      <w:r w:rsidRPr="00CB78DD">
        <w:t>TIK-senterets særpreg er å adressere dagsaktuelle problemstillinger innen temaområdene vitenskap, kunnskap og teknologiers rolle i samfunnet og den samfunnsmessige og økonomiske betydningen av investeringer i teknologi og kunnskap. Dette er tema</w:t>
      </w:r>
      <w:r w:rsidR="00A55C48">
        <w:t>er</w:t>
      </w:r>
      <w:r w:rsidRPr="00CB78DD">
        <w:t xml:space="preserve"> som i økende grad har fått oppmerksomhet som egne fagområder og i kontaktflater med andre fag. TIKs særpreg er å gi samfunnsvitenskapelige og humanistiske forskningsbidrag til forståelsen av slike tema, ofte i samarbeid med forskere og brukere i andre fagområder.</w:t>
      </w:r>
    </w:p>
    <w:p w14:paraId="304F2F4C" w14:textId="7474D858" w:rsidR="00DF26A6" w:rsidRDefault="00DF26A6" w:rsidP="007F67DB">
      <w:pPr>
        <w:pStyle w:val="BodyText"/>
      </w:pPr>
      <w:r w:rsidRPr="00CB78DD">
        <w:t xml:space="preserve">Helt fra starten har forskingen ved TIK-senteret vært </w:t>
      </w:r>
      <w:r>
        <w:t xml:space="preserve">organisert i to forskergrupper; </w:t>
      </w:r>
      <w:r w:rsidRPr="00CB78DD">
        <w:t>innovasjonsstudier og vitenskaps- og teknologistudi</w:t>
      </w:r>
      <w:r>
        <w:t>er (</w:t>
      </w:r>
      <w:r w:rsidR="00A55C48">
        <w:t>Science and Technology Studies</w:t>
      </w:r>
      <w:r>
        <w:t xml:space="preserve"> </w:t>
      </w:r>
      <w:r w:rsidR="00AF11AF">
        <w:t xml:space="preserve">eller </w:t>
      </w:r>
      <w:r>
        <w:t xml:space="preserve">STS på engelsk). </w:t>
      </w:r>
      <w:r w:rsidRPr="00CB78DD">
        <w:t>Forsknings- og utdanningsoppgaver gjennomføres også på tvers av gruppene.</w:t>
      </w:r>
      <w:r>
        <w:t xml:space="preserve"> </w:t>
      </w:r>
      <w:r w:rsidRPr="00CB78DD">
        <w:t xml:space="preserve">Begge gruppene inngikk </w:t>
      </w:r>
      <w:r w:rsidR="00A3325A">
        <w:t xml:space="preserve">som forskergrupper </w:t>
      </w:r>
      <w:r w:rsidRPr="00CB78DD">
        <w:t>i evalueringen av samfunns</w:t>
      </w:r>
      <w:r>
        <w:t xml:space="preserve">vitenskapelig forskning i Norge </w:t>
      </w:r>
      <w:r w:rsidRPr="00CB78DD">
        <w:t>(SAMEVAL) i 2017</w:t>
      </w:r>
      <w:r w:rsidR="00A55C48">
        <w:t>-</w:t>
      </w:r>
      <w:r w:rsidRPr="00CB78DD">
        <w:t>18. Innovasjon</w:t>
      </w:r>
      <w:r w:rsidR="00A55C48">
        <w:t>sstudier</w:t>
      </w:r>
      <w:r w:rsidRPr="00CB78DD">
        <w:t xml:space="preserve"> ble evaluert av et fagp</w:t>
      </w:r>
      <w:r>
        <w:t xml:space="preserve">anel for økonomiskadministrativ </w:t>
      </w:r>
      <w:r w:rsidRPr="00CB78DD">
        <w:t>forskning</w:t>
      </w:r>
      <w:r w:rsidR="00A55C48">
        <w:t>, mens vitenskaps- og teknologistudier</w:t>
      </w:r>
      <w:r w:rsidRPr="00CB78DD">
        <w:t xml:space="preserve"> ble evaluert </w:t>
      </w:r>
      <w:r w:rsidR="00AF11AF">
        <w:t xml:space="preserve">av </w:t>
      </w:r>
      <w:r w:rsidRPr="00CB78DD">
        <w:t xml:space="preserve">et fagpanel </w:t>
      </w:r>
      <w:r>
        <w:t>for sosiologi.</w:t>
      </w:r>
      <w:r w:rsidR="00A3325A">
        <w:t xml:space="preserve"> Begge gruppene fikk for "overall assessment" karakteren 4 "very good".</w:t>
      </w:r>
    </w:p>
    <w:p w14:paraId="101E36C2" w14:textId="3407D101" w:rsidR="00945F8B" w:rsidRDefault="00945F8B" w:rsidP="007F67DB">
      <w:pPr>
        <w:pStyle w:val="BodyText"/>
      </w:pPr>
      <w:r w:rsidRPr="00945F8B">
        <w:t>TIK har to masterprogrammer, det</w:t>
      </w:r>
      <w:r w:rsidR="00AF11AF">
        <w:t xml:space="preserve"> ett og et halvt</w:t>
      </w:r>
      <w:r w:rsidR="00010D78">
        <w:t>-</w:t>
      </w:r>
      <w:r w:rsidRPr="00945F8B">
        <w:t>årige Society, Science and Technology in Europe (ESST) og det to-årige Teknologi, innovasjon og kunnskap (TIK</w:t>
      </w:r>
      <w:r>
        <w:t xml:space="preserve">). I tillegg </w:t>
      </w:r>
      <w:r w:rsidR="00010D78">
        <w:t>driver TIK doktorgradsopplæring innenfor fakultetets doktorgradsprogram.</w:t>
      </w:r>
    </w:p>
    <w:p w14:paraId="1204997D" w14:textId="58B8D9C4" w:rsidR="00010D78" w:rsidRPr="00010D78" w:rsidRDefault="00010D78" w:rsidP="00813BFF">
      <w:pPr>
        <w:pStyle w:val="BodyText"/>
      </w:pPr>
      <w:r>
        <w:t xml:space="preserve">TIK hadde pr. 1. oktober 2018 et samlet antall årsverk på 42, fordelt på 13 årsverk i vitenskapelige stillinger, 22 årsverk i rekrutteringsstillinger og seks årsverk i administrative stillinger (se </w:t>
      </w:r>
      <w:r>
        <w:fldChar w:fldCharType="begin"/>
      </w:r>
      <w:r>
        <w:instrText xml:space="preserve"> REF _Ref3285017 \h \*Lower </w:instrText>
      </w:r>
      <w:r>
        <w:fldChar w:fldCharType="separate"/>
      </w:r>
      <w:r w:rsidR="00334FA3">
        <w:t xml:space="preserve">tabell </w:t>
      </w:r>
      <w:r w:rsidR="00334FA3">
        <w:rPr>
          <w:noProof/>
        </w:rPr>
        <w:t>3</w:t>
      </w:r>
      <w:r>
        <w:fldChar w:fldCharType="end"/>
      </w:r>
      <w:r>
        <w:t xml:space="preserve">). Av disse var </w:t>
      </w:r>
      <w:r w:rsidR="007F67DB">
        <w:t>syv</w:t>
      </w:r>
      <w:r>
        <w:t xml:space="preserve"> vitenskapelige årsverk og </w:t>
      </w:r>
      <w:r w:rsidR="007F67DB">
        <w:t>tre</w:t>
      </w:r>
      <w:r>
        <w:t xml:space="preserve"> administrative årsverk i faste stillinger, mens </w:t>
      </w:r>
      <w:r w:rsidR="007F67DB">
        <w:t>seks</w:t>
      </w:r>
      <w:r>
        <w:t xml:space="preserve"> </w:t>
      </w:r>
      <w:r>
        <w:lastRenderedPageBreak/>
        <w:t>vitenskapelig</w:t>
      </w:r>
      <w:r w:rsidR="007F67DB">
        <w:t>e</w:t>
      </w:r>
      <w:r>
        <w:t xml:space="preserve"> årsverk og t</w:t>
      </w:r>
      <w:r w:rsidR="007F67DB">
        <w:t>re</w:t>
      </w:r>
      <w:r>
        <w:t xml:space="preserve"> administrative årsverk var i midlertidige stillinger. Totalt var </w:t>
      </w:r>
      <w:r w:rsidR="007F67DB">
        <w:t>10</w:t>
      </w:r>
      <w:r>
        <w:t xml:space="preserve"> årsverk i faste stillinger og </w:t>
      </w:r>
      <w:r w:rsidR="007F67DB">
        <w:t>32</w:t>
      </w:r>
      <w:r>
        <w:t xml:space="preserve"> årsverk i midlertidige stillinger. Omfanget av årsverk har variert en del over tid, særlig når det gjelder rekrutteringsstillinger, noe som reflekterer tilgangen på prosjekter</w:t>
      </w:r>
      <w:r w:rsidR="007F67DB">
        <w:t xml:space="preserve">. Siden 2015 har omfanget av både vitenskapelige stillinger og rekrutteringsstillinger vokst sterkt, med den følge at det totale antall årsverk </w:t>
      </w:r>
      <w:r w:rsidR="00AF11AF">
        <w:t xml:space="preserve">har </w:t>
      </w:r>
      <w:r w:rsidR="007F67DB">
        <w:t>økt fra 27 til 42.</w:t>
      </w:r>
    </w:p>
    <w:p w14:paraId="5581053C" w14:textId="4F6D1173" w:rsidR="00010D78" w:rsidRDefault="00010D78" w:rsidP="00010D78">
      <w:pPr>
        <w:pStyle w:val="Caption"/>
        <w:keepNext/>
      </w:pPr>
      <w:bookmarkStart w:id="3" w:name="_Ref3285017"/>
      <w:r>
        <w:t xml:space="preserve">Tabell </w:t>
      </w:r>
      <w:r w:rsidR="00991761">
        <w:rPr>
          <w:noProof/>
        </w:rPr>
        <w:fldChar w:fldCharType="begin"/>
      </w:r>
      <w:r w:rsidR="00991761">
        <w:rPr>
          <w:noProof/>
        </w:rPr>
        <w:instrText xml:space="preserve"> SEQ Tabell \* ARABIC </w:instrText>
      </w:r>
      <w:r w:rsidR="00991761">
        <w:rPr>
          <w:noProof/>
        </w:rPr>
        <w:fldChar w:fldCharType="separate"/>
      </w:r>
      <w:r w:rsidR="00334FA3">
        <w:rPr>
          <w:noProof/>
        </w:rPr>
        <w:t>3</w:t>
      </w:r>
      <w:r w:rsidR="00991761">
        <w:rPr>
          <w:noProof/>
        </w:rPr>
        <w:fldChar w:fldCharType="end"/>
      </w:r>
      <w:bookmarkEnd w:id="3"/>
      <w:r>
        <w:t>: TIK ansatte, årsverk. Kilde DBH-NSD.</w:t>
      </w:r>
    </w:p>
    <w:tbl>
      <w:tblPr>
        <w:tblStyle w:val="MediumGrid3-Accent3"/>
        <w:tblW w:w="0" w:type="auto"/>
        <w:tblLook w:val="06E0" w:firstRow="1" w:lastRow="1" w:firstColumn="1" w:lastColumn="0" w:noHBand="1" w:noVBand="1"/>
      </w:tblPr>
      <w:tblGrid>
        <w:gridCol w:w="1323"/>
        <w:gridCol w:w="632"/>
        <w:gridCol w:w="633"/>
        <w:gridCol w:w="633"/>
        <w:gridCol w:w="633"/>
        <w:gridCol w:w="633"/>
        <w:gridCol w:w="633"/>
        <w:gridCol w:w="633"/>
        <w:gridCol w:w="633"/>
        <w:gridCol w:w="633"/>
        <w:gridCol w:w="633"/>
        <w:gridCol w:w="633"/>
        <w:gridCol w:w="633"/>
        <w:gridCol w:w="633"/>
        <w:gridCol w:w="633"/>
      </w:tblGrid>
      <w:tr w:rsidR="00010D78" w:rsidRPr="009F7FAC" w14:paraId="26B0E3B5" w14:textId="77777777" w:rsidTr="00010D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3" w:type="dxa"/>
          </w:tcPr>
          <w:p w14:paraId="51B2AACF" w14:textId="77777777" w:rsidR="00010D78" w:rsidRPr="009F7FAC" w:rsidRDefault="00010D78" w:rsidP="00010D78">
            <w:pPr>
              <w:keepNext/>
              <w:keepLines/>
              <w:spacing w:before="150" w:after="75" w:line="240" w:lineRule="auto"/>
              <w:textAlignment w:val="baseline"/>
              <w:rPr>
                <w:rFonts w:asciiTheme="minorHAnsi" w:hAnsiTheme="minorHAnsi"/>
                <w:sz w:val="18"/>
                <w:szCs w:val="24"/>
              </w:rPr>
            </w:pPr>
          </w:p>
        </w:tc>
        <w:tc>
          <w:tcPr>
            <w:tcW w:w="632" w:type="dxa"/>
            <w:vAlign w:val="center"/>
          </w:tcPr>
          <w:p w14:paraId="4E4FA323"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2005</w:t>
            </w:r>
          </w:p>
        </w:tc>
        <w:tc>
          <w:tcPr>
            <w:tcW w:w="633" w:type="dxa"/>
            <w:vAlign w:val="center"/>
          </w:tcPr>
          <w:p w14:paraId="60324AAF"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2006</w:t>
            </w:r>
          </w:p>
        </w:tc>
        <w:tc>
          <w:tcPr>
            <w:tcW w:w="633" w:type="dxa"/>
            <w:vAlign w:val="center"/>
          </w:tcPr>
          <w:p w14:paraId="0467F4AB"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2007</w:t>
            </w:r>
          </w:p>
        </w:tc>
        <w:tc>
          <w:tcPr>
            <w:tcW w:w="633" w:type="dxa"/>
            <w:vAlign w:val="center"/>
          </w:tcPr>
          <w:p w14:paraId="2321F67A"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2008</w:t>
            </w:r>
          </w:p>
        </w:tc>
        <w:tc>
          <w:tcPr>
            <w:tcW w:w="633" w:type="dxa"/>
            <w:vAlign w:val="center"/>
          </w:tcPr>
          <w:p w14:paraId="68F95C31"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2009</w:t>
            </w:r>
          </w:p>
        </w:tc>
        <w:tc>
          <w:tcPr>
            <w:tcW w:w="633" w:type="dxa"/>
            <w:vAlign w:val="center"/>
          </w:tcPr>
          <w:p w14:paraId="4152B4A5"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2010</w:t>
            </w:r>
          </w:p>
        </w:tc>
        <w:tc>
          <w:tcPr>
            <w:tcW w:w="633" w:type="dxa"/>
            <w:vAlign w:val="center"/>
          </w:tcPr>
          <w:p w14:paraId="1CE8E68D"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2011</w:t>
            </w:r>
          </w:p>
        </w:tc>
        <w:tc>
          <w:tcPr>
            <w:tcW w:w="633" w:type="dxa"/>
            <w:vAlign w:val="center"/>
          </w:tcPr>
          <w:p w14:paraId="2DE16313"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2012</w:t>
            </w:r>
          </w:p>
        </w:tc>
        <w:tc>
          <w:tcPr>
            <w:tcW w:w="633" w:type="dxa"/>
            <w:vAlign w:val="center"/>
          </w:tcPr>
          <w:p w14:paraId="3AA29E0E"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2013</w:t>
            </w:r>
          </w:p>
        </w:tc>
        <w:tc>
          <w:tcPr>
            <w:tcW w:w="633" w:type="dxa"/>
            <w:vAlign w:val="center"/>
          </w:tcPr>
          <w:p w14:paraId="0B9643E0"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2014</w:t>
            </w:r>
          </w:p>
        </w:tc>
        <w:tc>
          <w:tcPr>
            <w:tcW w:w="633" w:type="dxa"/>
            <w:vAlign w:val="center"/>
          </w:tcPr>
          <w:p w14:paraId="1EB6921D"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2015</w:t>
            </w:r>
          </w:p>
        </w:tc>
        <w:tc>
          <w:tcPr>
            <w:tcW w:w="633" w:type="dxa"/>
            <w:vAlign w:val="center"/>
          </w:tcPr>
          <w:p w14:paraId="5D101CAE"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2016</w:t>
            </w:r>
          </w:p>
        </w:tc>
        <w:tc>
          <w:tcPr>
            <w:tcW w:w="633" w:type="dxa"/>
            <w:vAlign w:val="center"/>
          </w:tcPr>
          <w:p w14:paraId="4E291740"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2017</w:t>
            </w:r>
          </w:p>
        </w:tc>
        <w:tc>
          <w:tcPr>
            <w:tcW w:w="633" w:type="dxa"/>
            <w:vAlign w:val="center"/>
          </w:tcPr>
          <w:p w14:paraId="196DDC80" w14:textId="77777777" w:rsidR="00010D78" w:rsidRPr="009F7FAC"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4"/>
              </w:rPr>
            </w:pPr>
            <w:r w:rsidRPr="009F7FAC">
              <w:rPr>
                <w:rFonts w:asciiTheme="minorHAnsi" w:hAnsiTheme="minorHAnsi"/>
                <w:sz w:val="18"/>
                <w:szCs w:val="24"/>
              </w:rPr>
              <w:t>2018</w:t>
            </w:r>
          </w:p>
        </w:tc>
      </w:tr>
      <w:tr w:rsidR="00010D78" w:rsidRPr="009F7FAC" w14:paraId="00118362" w14:textId="77777777" w:rsidTr="00010D78">
        <w:tc>
          <w:tcPr>
            <w:cnfStyle w:val="001000000000" w:firstRow="0" w:lastRow="0" w:firstColumn="1" w:lastColumn="0" w:oddVBand="0" w:evenVBand="0" w:oddHBand="0" w:evenHBand="0" w:firstRowFirstColumn="0" w:firstRowLastColumn="0" w:lastRowFirstColumn="0" w:lastRowLastColumn="0"/>
            <w:tcW w:w="1323" w:type="dxa"/>
          </w:tcPr>
          <w:p w14:paraId="6B1C5BFC" w14:textId="77777777" w:rsidR="00010D78" w:rsidRPr="009F7FAC" w:rsidRDefault="00010D78" w:rsidP="00010D78">
            <w:pPr>
              <w:keepNext/>
              <w:keepLines/>
              <w:spacing w:before="150" w:after="75" w:line="240" w:lineRule="auto"/>
              <w:textAlignment w:val="baseline"/>
              <w:rPr>
                <w:rFonts w:asciiTheme="minorHAnsi" w:hAnsiTheme="minorHAnsi"/>
                <w:sz w:val="18"/>
                <w:szCs w:val="24"/>
              </w:rPr>
            </w:pPr>
            <w:r w:rsidRPr="009F7FAC">
              <w:rPr>
                <w:rFonts w:asciiTheme="minorHAnsi" w:hAnsiTheme="minorHAnsi"/>
                <w:sz w:val="18"/>
                <w:szCs w:val="24"/>
              </w:rPr>
              <w:t>Vitenskapelige</w:t>
            </w:r>
          </w:p>
        </w:tc>
        <w:tc>
          <w:tcPr>
            <w:tcW w:w="632" w:type="dxa"/>
            <w:vAlign w:val="center"/>
          </w:tcPr>
          <w:p w14:paraId="3A01CC75" w14:textId="6F2901C1"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17</w:t>
            </w:r>
          </w:p>
        </w:tc>
        <w:tc>
          <w:tcPr>
            <w:tcW w:w="633" w:type="dxa"/>
            <w:vAlign w:val="center"/>
          </w:tcPr>
          <w:p w14:paraId="720D6C5B" w14:textId="7D4AA5C1"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13</w:t>
            </w:r>
          </w:p>
        </w:tc>
        <w:tc>
          <w:tcPr>
            <w:tcW w:w="633" w:type="dxa"/>
            <w:vAlign w:val="center"/>
          </w:tcPr>
          <w:p w14:paraId="0802E6AF" w14:textId="4846E411"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14</w:t>
            </w:r>
          </w:p>
        </w:tc>
        <w:tc>
          <w:tcPr>
            <w:tcW w:w="633" w:type="dxa"/>
            <w:vAlign w:val="center"/>
          </w:tcPr>
          <w:p w14:paraId="7258725B" w14:textId="62A84122"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9</w:t>
            </w:r>
          </w:p>
        </w:tc>
        <w:tc>
          <w:tcPr>
            <w:tcW w:w="633" w:type="dxa"/>
            <w:vAlign w:val="center"/>
          </w:tcPr>
          <w:p w14:paraId="46280265" w14:textId="6BD790D6"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9</w:t>
            </w:r>
          </w:p>
        </w:tc>
        <w:tc>
          <w:tcPr>
            <w:tcW w:w="633" w:type="dxa"/>
            <w:vAlign w:val="center"/>
          </w:tcPr>
          <w:p w14:paraId="07F0C7EB" w14:textId="6B6740F0"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10</w:t>
            </w:r>
          </w:p>
        </w:tc>
        <w:tc>
          <w:tcPr>
            <w:tcW w:w="633" w:type="dxa"/>
            <w:vAlign w:val="center"/>
          </w:tcPr>
          <w:p w14:paraId="3B323313" w14:textId="73333404"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8</w:t>
            </w:r>
          </w:p>
        </w:tc>
        <w:tc>
          <w:tcPr>
            <w:tcW w:w="633" w:type="dxa"/>
            <w:vAlign w:val="center"/>
          </w:tcPr>
          <w:p w14:paraId="0FDE3C4B" w14:textId="0E5F6EF9"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8</w:t>
            </w:r>
          </w:p>
        </w:tc>
        <w:tc>
          <w:tcPr>
            <w:tcW w:w="633" w:type="dxa"/>
            <w:vAlign w:val="center"/>
          </w:tcPr>
          <w:p w14:paraId="5BBBBB4C" w14:textId="7E31011F"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9</w:t>
            </w:r>
          </w:p>
        </w:tc>
        <w:tc>
          <w:tcPr>
            <w:tcW w:w="633" w:type="dxa"/>
            <w:vAlign w:val="center"/>
          </w:tcPr>
          <w:p w14:paraId="4C0D3956" w14:textId="1186F22F"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11</w:t>
            </w:r>
          </w:p>
        </w:tc>
        <w:tc>
          <w:tcPr>
            <w:tcW w:w="633" w:type="dxa"/>
            <w:vAlign w:val="center"/>
          </w:tcPr>
          <w:p w14:paraId="325D7335" w14:textId="0105A87B"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8</w:t>
            </w:r>
          </w:p>
        </w:tc>
        <w:tc>
          <w:tcPr>
            <w:tcW w:w="633" w:type="dxa"/>
            <w:vAlign w:val="center"/>
          </w:tcPr>
          <w:p w14:paraId="46197F5C" w14:textId="64A292B0"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10</w:t>
            </w:r>
          </w:p>
        </w:tc>
        <w:tc>
          <w:tcPr>
            <w:tcW w:w="633" w:type="dxa"/>
            <w:vAlign w:val="center"/>
          </w:tcPr>
          <w:p w14:paraId="5B37D4B9" w14:textId="47FA99A8"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12</w:t>
            </w:r>
          </w:p>
        </w:tc>
        <w:tc>
          <w:tcPr>
            <w:tcW w:w="633" w:type="dxa"/>
            <w:vAlign w:val="center"/>
          </w:tcPr>
          <w:p w14:paraId="07E8910E" w14:textId="491B3CE2"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13</w:t>
            </w:r>
          </w:p>
        </w:tc>
      </w:tr>
      <w:tr w:rsidR="00010D78" w:rsidRPr="009F7FAC" w14:paraId="32D797F6" w14:textId="77777777" w:rsidTr="00010D78">
        <w:tc>
          <w:tcPr>
            <w:cnfStyle w:val="001000000000" w:firstRow="0" w:lastRow="0" w:firstColumn="1" w:lastColumn="0" w:oddVBand="0" w:evenVBand="0" w:oddHBand="0" w:evenHBand="0" w:firstRowFirstColumn="0" w:firstRowLastColumn="0" w:lastRowFirstColumn="0" w:lastRowLastColumn="0"/>
            <w:tcW w:w="1323" w:type="dxa"/>
          </w:tcPr>
          <w:p w14:paraId="3AE9EA0B" w14:textId="77777777" w:rsidR="00010D78" w:rsidRPr="009F7FAC" w:rsidRDefault="00010D78" w:rsidP="00010D78">
            <w:pPr>
              <w:keepNext/>
              <w:keepLines/>
              <w:spacing w:before="150" w:after="75" w:line="240" w:lineRule="auto"/>
              <w:textAlignment w:val="baseline"/>
              <w:rPr>
                <w:rFonts w:asciiTheme="minorHAnsi" w:hAnsiTheme="minorHAnsi"/>
                <w:sz w:val="18"/>
                <w:szCs w:val="24"/>
              </w:rPr>
            </w:pPr>
            <w:r w:rsidRPr="009F7FAC">
              <w:rPr>
                <w:rFonts w:asciiTheme="minorHAnsi" w:hAnsiTheme="minorHAnsi"/>
                <w:sz w:val="18"/>
                <w:szCs w:val="24"/>
              </w:rPr>
              <w:t>Rekruttering</w:t>
            </w:r>
          </w:p>
        </w:tc>
        <w:tc>
          <w:tcPr>
            <w:tcW w:w="632" w:type="dxa"/>
            <w:vAlign w:val="center"/>
          </w:tcPr>
          <w:p w14:paraId="3AC47E9D" w14:textId="3199B3DC"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15</w:t>
            </w:r>
          </w:p>
        </w:tc>
        <w:tc>
          <w:tcPr>
            <w:tcW w:w="633" w:type="dxa"/>
            <w:vAlign w:val="center"/>
          </w:tcPr>
          <w:p w14:paraId="1F3A339D" w14:textId="3E22941A"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15</w:t>
            </w:r>
          </w:p>
        </w:tc>
        <w:tc>
          <w:tcPr>
            <w:tcW w:w="633" w:type="dxa"/>
            <w:vAlign w:val="center"/>
          </w:tcPr>
          <w:p w14:paraId="16DADB10" w14:textId="26A6F393"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12</w:t>
            </w:r>
          </w:p>
        </w:tc>
        <w:tc>
          <w:tcPr>
            <w:tcW w:w="633" w:type="dxa"/>
            <w:vAlign w:val="center"/>
          </w:tcPr>
          <w:p w14:paraId="6512C429" w14:textId="0B13EAAA"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12</w:t>
            </w:r>
          </w:p>
        </w:tc>
        <w:tc>
          <w:tcPr>
            <w:tcW w:w="633" w:type="dxa"/>
            <w:vAlign w:val="center"/>
          </w:tcPr>
          <w:p w14:paraId="1BFC4073" w14:textId="2117CAAD"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10</w:t>
            </w:r>
          </w:p>
        </w:tc>
        <w:tc>
          <w:tcPr>
            <w:tcW w:w="633" w:type="dxa"/>
            <w:vAlign w:val="center"/>
          </w:tcPr>
          <w:p w14:paraId="3741304E" w14:textId="28C70ADE"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9</w:t>
            </w:r>
          </w:p>
        </w:tc>
        <w:tc>
          <w:tcPr>
            <w:tcW w:w="633" w:type="dxa"/>
            <w:vAlign w:val="center"/>
          </w:tcPr>
          <w:p w14:paraId="5AE6E079" w14:textId="3D14CE94"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11</w:t>
            </w:r>
          </w:p>
        </w:tc>
        <w:tc>
          <w:tcPr>
            <w:tcW w:w="633" w:type="dxa"/>
            <w:vAlign w:val="center"/>
          </w:tcPr>
          <w:p w14:paraId="663E6E60" w14:textId="2C3F6166"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14</w:t>
            </w:r>
          </w:p>
        </w:tc>
        <w:tc>
          <w:tcPr>
            <w:tcW w:w="633" w:type="dxa"/>
            <w:vAlign w:val="center"/>
          </w:tcPr>
          <w:p w14:paraId="041D52B6" w14:textId="04CE942A"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16</w:t>
            </w:r>
          </w:p>
        </w:tc>
        <w:tc>
          <w:tcPr>
            <w:tcW w:w="633" w:type="dxa"/>
            <w:vAlign w:val="center"/>
          </w:tcPr>
          <w:p w14:paraId="73FAD0ED" w14:textId="7AC8DA7B"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13</w:t>
            </w:r>
          </w:p>
        </w:tc>
        <w:tc>
          <w:tcPr>
            <w:tcW w:w="633" w:type="dxa"/>
            <w:vAlign w:val="center"/>
          </w:tcPr>
          <w:p w14:paraId="782E18DE" w14:textId="73AD5793"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14</w:t>
            </w:r>
          </w:p>
        </w:tc>
        <w:tc>
          <w:tcPr>
            <w:tcW w:w="633" w:type="dxa"/>
            <w:vAlign w:val="center"/>
          </w:tcPr>
          <w:p w14:paraId="1B7CF7C2" w14:textId="5E924D9C"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17</w:t>
            </w:r>
          </w:p>
        </w:tc>
        <w:tc>
          <w:tcPr>
            <w:tcW w:w="633" w:type="dxa"/>
            <w:vAlign w:val="center"/>
          </w:tcPr>
          <w:p w14:paraId="243991BD" w14:textId="107D04AB"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19</w:t>
            </w:r>
          </w:p>
        </w:tc>
        <w:tc>
          <w:tcPr>
            <w:tcW w:w="633" w:type="dxa"/>
            <w:vAlign w:val="center"/>
          </w:tcPr>
          <w:p w14:paraId="4F98C558" w14:textId="62C5E705"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22</w:t>
            </w:r>
          </w:p>
        </w:tc>
      </w:tr>
      <w:tr w:rsidR="00010D78" w:rsidRPr="009F7FAC" w14:paraId="12CB83CD" w14:textId="77777777" w:rsidTr="00010D78">
        <w:tc>
          <w:tcPr>
            <w:cnfStyle w:val="001000000000" w:firstRow="0" w:lastRow="0" w:firstColumn="1" w:lastColumn="0" w:oddVBand="0" w:evenVBand="0" w:oddHBand="0" w:evenHBand="0" w:firstRowFirstColumn="0" w:firstRowLastColumn="0" w:lastRowFirstColumn="0" w:lastRowLastColumn="0"/>
            <w:tcW w:w="1323" w:type="dxa"/>
          </w:tcPr>
          <w:p w14:paraId="13ED8DCA" w14:textId="77777777" w:rsidR="00010D78" w:rsidRPr="009F7FAC" w:rsidRDefault="00010D78" w:rsidP="00010D78">
            <w:pPr>
              <w:keepNext/>
              <w:keepLines/>
              <w:spacing w:before="150" w:after="75" w:line="240" w:lineRule="auto"/>
              <w:textAlignment w:val="baseline"/>
              <w:rPr>
                <w:rFonts w:asciiTheme="minorHAnsi" w:hAnsiTheme="minorHAnsi"/>
                <w:sz w:val="18"/>
                <w:szCs w:val="24"/>
              </w:rPr>
            </w:pPr>
            <w:r w:rsidRPr="009F7FAC">
              <w:rPr>
                <w:rFonts w:asciiTheme="minorHAnsi" w:hAnsiTheme="minorHAnsi"/>
                <w:sz w:val="18"/>
                <w:szCs w:val="24"/>
              </w:rPr>
              <w:t>Administrative</w:t>
            </w:r>
          </w:p>
        </w:tc>
        <w:tc>
          <w:tcPr>
            <w:tcW w:w="632" w:type="dxa"/>
            <w:vAlign w:val="center"/>
          </w:tcPr>
          <w:p w14:paraId="1B65348F" w14:textId="5D3C9045"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149E11F1" w14:textId="77777EA8"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0F2302AD" w14:textId="3E42D9D5"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7</w:t>
            </w:r>
          </w:p>
        </w:tc>
        <w:tc>
          <w:tcPr>
            <w:tcW w:w="633" w:type="dxa"/>
            <w:vAlign w:val="center"/>
          </w:tcPr>
          <w:p w14:paraId="4D2A5C32" w14:textId="25ABA250"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6</w:t>
            </w:r>
          </w:p>
        </w:tc>
        <w:tc>
          <w:tcPr>
            <w:tcW w:w="633" w:type="dxa"/>
            <w:vAlign w:val="center"/>
          </w:tcPr>
          <w:p w14:paraId="6D1FD097" w14:textId="447E9A0C"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6</w:t>
            </w:r>
          </w:p>
        </w:tc>
        <w:tc>
          <w:tcPr>
            <w:tcW w:w="633" w:type="dxa"/>
            <w:vAlign w:val="center"/>
          </w:tcPr>
          <w:p w14:paraId="7892164E" w14:textId="47E8A709"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4</w:t>
            </w:r>
          </w:p>
        </w:tc>
        <w:tc>
          <w:tcPr>
            <w:tcW w:w="633" w:type="dxa"/>
            <w:vAlign w:val="center"/>
          </w:tcPr>
          <w:p w14:paraId="176EAC71" w14:textId="435CD498"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0BDA3981" w14:textId="5B549A44"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4DDCC428" w14:textId="57AF14BE"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4</w:t>
            </w:r>
          </w:p>
        </w:tc>
        <w:tc>
          <w:tcPr>
            <w:tcW w:w="633" w:type="dxa"/>
            <w:vAlign w:val="center"/>
          </w:tcPr>
          <w:p w14:paraId="295E1883" w14:textId="72BBA865"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19DF153C" w14:textId="24380FB2"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1E3E68C1" w14:textId="15BEF3D0"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6</w:t>
            </w:r>
          </w:p>
        </w:tc>
        <w:tc>
          <w:tcPr>
            <w:tcW w:w="633" w:type="dxa"/>
            <w:vAlign w:val="center"/>
          </w:tcPr>
          <w:p w14:paraId="5B45724D" w14:textId="599C255D"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5</w:t>
            </w:r>
          </w:p>
        </w:tc>
        <w:tc>
          <w:tcPr>
            <w:tcW w:w="633" w:type="dxa"/>
            <w:vAlign w:val="center"/>
          </w:tcPr>
          <w:p w14:paraId="123EEB09" w14:textId="56524078" w:rsidR="00010D78" w:rsidRPr="009F7FAC" w:rsidRDefault="00010D78" w:rsidP="00010D78">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6</w:t>
            </w:r>
          </w:p>
        </w:tc>
      </w:tr>
      <w:tr w:rsidR="00010D78" w:rsidRPr="009F7FAC" w14:paraId="1FC6CA0F" w14:textId="77777777" w:rsidTr="00010D7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3" w:type="dxa"/>
          </w:tcPr>
          <w:p w14:paraId="248C068C" w14:textId="77777777" w:rsidR="00010D78" w:rsidRPr="009F7FAC" w:rsidRDefault="00010D78" w:rsidP="00010D78">
            <w:pPr>
              <w:keepNext/>
              <w:keepLines/>
              <w:spacing w:before="150" w:after="75" w:line="240" w:lineRule="auto"/>
              <w:textAlignment w:val="baseline"/>
              <w:rPr>
                <w:rFonts w:asciiTheme="minorHAnsi" w:hAnsiTheme="minorHAnsi"/>
                <w:sz w:val="18"/>
                <w:szCs w:val="24"/>
              </w:rPr>
            </w:pPr>
            <w:r>
              <w:rPr>
                <w:rFonts w:asciiTheme="minorHAnsi" w:hAnsiTheme="minorHAnsi"/>
                <w:sz w:val="18"/>
                <w:szCs w:val="24"/>
              </w:rPr>
              <w:t>Totalt</w:t>
            </w:r>
          </w:p>
        </w:tc>
        <w:tc>
          <w:tcPr>
            <w:tcW w:w="632" w:type="dxa"/>
            <w:vAlign w:val="center"/>
          </w:tcPr>
          <w:p w14:paraId="2AE3EFBE" w14:textId="4880F7F8"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37</w:t>
            </w:r>
          </w:p>
        </w:tc>
        <w:tc>
          <w:tcPr>
            <w:tcW w:w="633" w:type="dxa"/>
            <w:vAlign w:val="center"/>
          </w:tcPr>
          <w:p w14:paraId="05711F6C" w14:textId="580E2A1A"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33</w:t>
            </w:r>
          </w:p>
        </w:tc>
        <w:tc>
          <w:tcPr>
            <w:tcW w:w="633" w:type="dxa"/>
            <w:vAlign w:val="center"/>
          </w:tcPr>
          <w:p w14:paraId="5FCF2C14" w14:textId="5EEF4DEB"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32</w:t>
            </w:r>
          </w:p>
        </w:tc>
        <w:tc>
          <w:tcPr>
            <w:tcW w:w="633" w:type="dxa"/>
            <w:vAlign w:val="center"/>
          </w:tcPr>
          <w:p w14:paraId="29DADDCC" w14:textId="4726A748"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27</w:t>
            </w:r>
          </w:p>
        </w:tc>
        <w:tc>
          <w:tcPr>
            <w:tcW w:w="633" w:type="dxa"/>
            <w:vAlign w:val="center"/>
          </w:tcPr>
          <w:p w14:paraId="4C7BAF7A" w14:textId="72A854F0"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24</w:t>
            </w:r>
          </w:p>
        </w:tc>
        <w:tc>
          <w:tcPr>
            <w:tcW w:w="633" w:type="dxa"/>
            <w:vAlign w:val="center"/>
          </w:tcPr>
          <w:p w14:paraId="4007C964" w14:textId="37842B3F"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23</w:t>
            </w:r>
          </w:p>
        </w:tc>
        <w:tc>
          <w:tcPr>
            <w:tcW w:w="633" w:type="dxa"/>
            <w:vAlign w:val="center"/>
          </w:tcPr>
          <w:p w14:paraId="05C5D4A7" w14:textId="011B723D"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24</w:t>
            </w:r>
          </w:p>
        </w:tc>
        <w:tc>
          <w:tcPr>
            <w:tcW w:w="633" w:type="dxa"/>
            <w:vAlign w:val="center"/>
          </w:tcPr>
          <w:p w14:paraId="117BBD8C" w14:textId="5DBDD285"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27</w:t>
            </w:r>
          </w:p>
        </w:tc>
        <w:tc>
          <w:tcPr>
            <w:tcW w:w="633" w:type="dxa"/>
            <w:vAlign w:val="center"/>
          </w:tcPr>
          <w:p w14:paraId="53236426" w14:textId="403F4469"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28</w:t>
            </w:r>
          </w:p>
        </w:tc>
        <w:tc>
          <w:tcPr>
            <w:tcW w:w="633" w:type="dxa"/>
            <w:vAlign w:val="center"/>
          </w:tcPr>
          <w:p w14:paraId="0FC5D9CD" w14:textId="163F9276"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30</w:t>
            </w:r>
          </w:p>
        </w:tc>
        <w:tc>
          <w:tcPr>
            <w:tcW w:w="633" w:type="dxa"/>
            <w:vAlign w:val="center"/>
          </w:tcPr>
          <w:p w14:paraId="344158B4" w14:textId="4F8259B0"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27</w:t>
            </w:r>
          </w:p>
        </w:tc>
        <w:tc>
          <w:tcPr>
            <w:tcW w:w="633" w:type="dxa"/>
            <w:vAlign w:val="center"/>
          </w:tcPr>
          <w:p w14:paraId="49F4B2F4" w14:textId="5BA531B0"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33</w:t>
            </w:r>
          </w:p>
        </w:tc>
        <w:tc>
          <w:tcPr>
            <w:tcW w:w="633" w:type="dxa"/>
            <w:vAlign w:val="center"/>
          </w:tcPr>
          <w:p w14:paraId="4B821202" w14:textId="44678A77"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35</w:t>
            </w:r>
          </w:p>
        </w:tc>
        <w:tc>
          <w:tcPr>
            <w:tcW w:w="633" w:type="dxa"/>
            <w:vAlign w:val="center"/>
          </w:tcPr>
          <w:p w14:paraId="57F9A89F" w14:textId="1DF80140" w:rsidR="00010D78" w:rsidRPr="009F7FAC" w:rsidRDefault="00010D78" w:rsidP="00010D78">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4"/>
              </w:rPr>
            </w:pPr>
            <w:r>
              <w:rPr>
                <w:rFonts w:asciiTheme="minorHAnsi" w:hAnsiTheme="minorHAnsi"/>
                <w:sz w:val="18"/>
                <w:szCs w:val="24"/>
              </w:rPr>
              <w:t>42</w:t>
            </w:r>
          </w:p>
        </w:tc>
      </w:tr>
    </w:tbl>
    <w:p w14:paraId="28426350" w14:textId="20DACF36" w:rsidR="00010D78" w:rsidRDefault="007F67DB" w:rsidP="00010D78">
      <w:pPr>
        <w:pStyle w:val="BodyText"/>
        <w:spacing w:before="240"/>
      </w:pPr>
      <w:r>
        <w:t>TIK</w:t>
      </w:r>
      <w:r w:rsidR="00010D78">
        <w:t xml:space="preserve"> hadde ved utgangen av 2018 et akkumulert </w:t>
      </w:r>
      <w:r w:rsidR="00813BFF">
        <w:t>over</w:t>
      </w:r>
      <w:r w:rsidR="00010D78">
        <w:t xml:space="preserve">skudd på </w:t>
      </w:r>
      <w:r w:rsidR="00813BFF">
        <w:t>24,5</w:t>
      </w:r>
      <w:r w:rsidR="00010D78">
        <w:t xml:space="preserve"> millioner kroner, etter et </w:t>
      </w:r>
      <w:r w:rsidR="00813BFF">
        <w:t>over</w:t>
      </w:r>
      <w:r w:rsidR="00010D78">
        <w:t xml:space="preserve">skudd for året på </w:t>
      </w:r>
      <w:r w:rsidR="00813BFF">
        <w:t>5</w:t>
      </w:r>
      <w:r w:rsidR="00010D78">
        <w:t>,</w:t>
      </w:r>
      <w:r w:rsidR="00813BFF">
        <w:t>2</w:t>
      </w:r>
      <w:r w:rsidR="00010D78">
        <w:t xml:space="preserve"> millioner kroner (s</w:t>
      </w:r>
      <w:r w:rsidR="00813BFF">
        <w:t>e</w:t>
      </w:r>
      <w:r w:rsidR="00D85E7F">
        <w:t xml:space="preserve"> </w:t>
      </w:r>
      <w:r w:rsidR="00D85E7F">
        <w:fldChar w:fldCharType="begin"/>
      </w:r>
      <w:r w:rsidR="00D85E7F">
        <w:instrText xml:space="preserve"> REF _Ref3285907 \h \*Lower </w:instrText>
      </w:r>
      <w:r w:rsidR="00D85E7F">
        <w:fldChar w:fldCharType="separate"/>
      </w:r>
      <w:r w:rsidR="00334FA3">
        <w:t xml:space="preserve">tabell </w:t>
      </w:r>
      <w:r w:rsidR="00334FA3">
        <w:rPr>
          <w:noProof/>
        </w:rPr>
        <w:t>4</w:t>
      </w:r>
      <w:r w:rsidR="00D85E7F">
        <w:fldChar w:fldCharType="end"/>
      </w:r>
      <w:r w:rsidR="00010D78">
        <w:t xml:space="preserve">). Årsresultatet er sterkt påvirket av periodiseringen av inntekter (som ikke fullt ut følger de tilhørende kostnader), </w:t>
      </w:r>
      <w:r w:rsidR="00813BFF">
        <w:t xml:space="preserve">men TIK har i flere år hatt en jevnt god økonomi som følge av mange </w:t>
      </w:r>
      <w:r w:rsidR="00010D78">
        <w:t>nye</w:t>
      </w:r>
      <w:r w:rsidR="00813BFF">
        <w:t xml:space="preserve"> og tildels</w:t>
      </w:r>
      <w:r w:rsidR="00010D78">
        <w:t xml:space="preserve"> store prosjekter. </w:t>
      </w:r>
      <w:r w:rsidR="00813BFF">
        <w:t>TIK budsjetterer med å nedbygge det akkumulerte overskuddet i</w:t>
      </w:r>
      <w:r w:rsidR="00010D78">
        <w:t xml:space="preserve"> langtidsbudsjettperioden frem til 2024.</w:t>
      </w:r>
    </w:p>
    <w:p w14:paraId="15E8C0F1" w14:textId="0ACA0336" w:rsidR="00010D78" w:rsidRDefault="00010D78" w:rsidP="00010D78">
      <w:pPr>
        <w:pStyle w:val="Caption"/>
        <w:keepNext/>
      </w:pPr>
      <w:bookmarkStart w:id="4" w:name="_Ref3285907"/>
      <w:r>
        <w:t xml:space="preserve">Tabell </w:t>
      </w:r>
      <w:r w:rsidR="00991761">
        <w:rPr>
          <w:noProof/>
        </w:rPr>
        <w:fldChar w:fldCharType="begin"/>
      </w:r>
      <w:r w:rsidR="00991761">
        <w:rPr>
          <w:noProof/>
        </w:rPr>
        <w:instrText xml:space="preserve"> SEQ Tabell \* ARABIC </w:instrText>
      </w:r>
      <w:r w:rsidR="00991761">
        <w:rPr>
          <w:noProof/>
        </w:rPr>
        <w:fldChar w:fldCharType="separate"/>
      </w:r>
      <w:r w:rsidR="00334FA3">
        <w:rPr>
          <w:noProof/>
        </w:rPr>
        <w:t>4</w:t>
      </w:r>
      <w:r w:rsidR="00991761">
        <w:rPr>
          <w:noProof/>
        </w:rPr>
        <w:fldChar w:fldCharType="end"/>
      </w:r>
      <w:bookmarkEnd w:id="4"/>
      <w:r>
        <w:t>: TIK økonomi, tusen kroner. Kilde DBH-NSD.</w:t>
      </w:r>
    </w:p>
    <w:tbl>
      <w:tblPr>
        <w:tblStyle w:val="MediumGrid3-Accent3"/>
        <w:tblW w:w="0" w:type="auto"/>
        <w:tblLook w:val="06E0" w:firstRow="1" w:lastRow="1" w:firstColumn="1" w:lastColumn="0" w:noHBand="1" w:noVBand="1"/>
      </w:tblPr>
      <w:tblGrid>
        <w:gridCol w:w="953"/>
        <w:gridCol w:w="659"/>
        <w:gridCol w:w="659"/>
        <w:gridCol w:w="660"/>
        <w:gridCol w:w="659"/>
        <w:gridCol w:w="659"/>
        <w:gridCol w:w="660"/>
        <w:gridCol w:w="659"/>
        <w:gridCol w:w="659"/>
        <w:gridCol w:w="660"/>
        <w:gridCol w:w="659"/>
        <w:gridCol w:w="659"/>
        <w:gridCol w:w="660"/>
        <w:gridCol w:w="659"/>
        <w:gridCol w:w="660"/>
      </w:tblGrid>
      <w:tr w:rsidR="00010D78" w:rsidRPr="00813BFF" w14:paraId="6F354D8D" w14:textId="77777777" w:rsidTr="00010D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3" w:type="dxa"/>
          </w:tcPr>
          <w:p w14:paraId="1D3E9EF7" w14:textId="77777777" w:rsidR="00010D78" w:rsidRPr="00813BFF" w:rsidRDefault="00010D78" w:rsidP="00010D78">
            <w:pPr>
              <w:keepNext/>
              <w:keepLines/>
              <w:spacing w:before="150" w:after="75" w:line="240" w:lineRule="auto"/>
              <w:textAlignment w:val="baseline"/>
              <w:rPr>
                <w:rFonts w:asciiTheme="minorHAnsi" w:hAnsiTheme="minorHAnsi"/>
                <w:sz w:val="14"/>
                <w:szCs w:val="24"/>
              </w:rPr>
            </w:pPr>
          </w:p>
        </w:tc>
        <w:tc>
          <w:tcPr>
            <w:tcW w:w="659" w:type="dxa"/>
            <w:vAlign w:val="center"/>
          </w:tcPr>
          <w:p w14:paraId="0665332A"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2005</w:t>
            </w:r>
          </w:p>
        </w:tc>
        <w:tc>
          <w:tcPr>
            <w:tcW w:w="659" w:type="dxa"/>
            <w:vAlign w:val="center"/>
          </w:tcPr>
          <w:p w14:paraId="73688608"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2006</w:t>
            </w:r>
          </w:p>
        </w:tc>
        <w:tc>
          <w:tcPr>
            <w:tcW w:w="660" w:type="dxa"/>
            <w:vAlign w:val="center"/>
          </w:tcPr>
          <w:p w14:paraId="0BEACE74"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2007</w:t>
            </w:r>
          </w:p>
        </w:tc>
        <w:tc>
          <w:tcPr>
            <w:tcW w:w="659" w:type="dxa"/>
            <w:vAlign w:val="center"/>
          </w:tcPr>
          <w:p w14:paraId="49FF0132"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2008</w:t>
            </w:r>
          </w:p>
        </w:tc>
        <w:tc>
          <w:tcPr>
            <w:tcW w:w="659" w:type="dxa"/>
            <w:vAlign w:val="center"/>
          </w:tcPr>
          <w:p w14:paraId="56DDB8D3"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2009</w:t>
            </w:r>
          </w:p>
        </w:tc>
        <w:tc>
          <w:tcPr>
            <w:tcW w:w="660" w:type="dxa"/>
            <w:vAlign w:val="center"/>
          </w:tcPr>
          <w:p w14:paraId="13085271"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2010</w:t>
            </w:r>
          </w:p>
        </w:tc>
        <w:tc>
          <w:tcPr>
            <w:tcW w:w="659" w:type="dxa"/>
            <w:vAlign w:val="center"/>
          </w:tcPr>
          <w:p w14:paraId="414F8015"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2011</w:t>
            </w:r>
          </w:p>
        </w:tc>
        <w:tc>
          <w:tcPr>
            <w:tcW w:w="659" w:type="dxa"/>
            <w:vAlign w:val="center"/>
          </w:tcPr>
          <w:p w14:paraId="21F186F7"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2012</w:t>
            </w:r>
          </w:p>
        </w:tc>
        <w:tc>
          <w:tcPr>
            <w:tcW w:w="660" w:type="dxa"/>
            <w:vAlign w:val="center"/>
          </w:tcPr>
          <w:p w14:paraId="49D36355"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2013</w:t>
            </w:r>
          </w:p>
        </w:tc>
        <w:tc>
          <w:tcPr>
            <w:tcW w:w="659" w:type="dxa"/>
            <w:vAlign w:val="center"/>
          </w:tcPr>
          <w:p w14:paraId="4D969729"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2014</w:t>
            </w:r>
          </w:p>
        </w:tc>
        <w:tc>
          <w:tcPr>
            <w:tcW w:w="659" w:type="dxa"/>
            <w:vAlign w:val="center"/>
          </w:tcPr>
          <w:p w14:paraId="2531CD39"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2015</w:t>
            </w:r>
          </w:p>
        </w:tc>
        <w:tc>
          <w:tcPr>
            <w:tcW w:w="660" w:type="dxa"/>
            <w:vAlign w:val="center"/>
          </w:tcPr>
          <w:p w14:paraId="029AC892"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2016</w:t>
            </w:r>
          </w:p>
        </w:tc>
        <w:tc>
          <w:tcPr>
            <w:tcW w:w="659" w:type="dxa"/>
            <w:vAlign w:val="center"/>
          </w:tcPr>
          <w:p w14:paraId="070D39BF"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2017</w:t>
            </w:r>
          </w:p>
        </w:tc>
        <w:tc>
          <w:tcPr>
            <w:tcW w:w="660" w:type="dxa"/>
            <w:vAlign w:val="center"/>
          </w:tcPr>
          <w:p w14:paraId="216D0A6A" w14:textId="77777777" w:rsidR="00010D78" w:rsidRPr="00813BFF" w:rsidRDefault="00010D78" w:rsidP="00010D78">
            <w:pPr>
              <w:keepNext/>
              <w:keepLines/>
              <w:spacing w:before="150" w:after="75"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rFonts w:asciiTheme="minorHAnsi" w:hAnsiTheme="minorHAnsi"/>
                <w:sz w:val="14"/>
                <w:szCs w:val="24"/>
              </w:rPr>
              <w:t>2018</w:t>
            </w:r>
          </w:p>
        </w:tc>
      </w:tr>
      <w:tr w:rsidR="00813BFF" w:rsidRPr="00813BFF" w14:paraId="446894E6" w14:textId="77777777" w:rsidTr="00010D78">
        <w:tc>
          <w:tcPr>
            <w:cnfStyle w:val="001000000000" w:firstRow="0" w:lastRow="0" w:firstColumn="1" w:lastColumn="0" w:oddVBand="0" w:evenVBand="0" w:oddHBand="0" w:evenHBand="0" w:firstRowFirstColumn="0" w:firstRowLastColumn="0" w:lastRowFirstColumn="0" w:lastRowLastColumn="0"/>
            <w:tcW w:w="953" w:type="dxa"/>
          </w:tcPr>
          <w:p w14:paraId="6AED0EFF" w14:textId="77777777" w:rsidR="00813BFF" w:rsidRPr="00813BFF" w:rsidRDefault="00813BFF" w:rsidP="00813BFF">
            <w:pPr>
              <w:keepNext/>
              <w:keepLines/>
              <w:spacing w:before="150" w:after="75" w:line="240" w:lineRule="auto"/>
              <w:textAlignment w:val="baseline"/>
              <w:rPr>
                <w:rFonts w:asciiTheme="minorHAnsi" w:hAnsiTheme="minorHAnsi"/>
                <w:sz w:val="14"/>
                <w:szCs w:val="24"/>
              </w:rPr>
            </w:pPr>
            <w:r w:rsidRPr="00813BFF">
              <w:rPr>
                <w:rFonts w:asciiTheme="minorHAnsi" w:hAnsiTheme="minorHAnsi"/>
                <w:sz w:val="14"/>
                <w:szCs w:val="24"/>
              </w:rPr>
              <w:t>Overført</w:t>
            </w:r>
          </w:p>
        </w:tc>
        <w:tc>
          <w:tcPr>
            <w:tcW w:w="659" w:type="dxa"/>
          </w:tcPr>
          <w:p w14:paraId="23653D1B" w14:textId="27026EA2"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-235</w:t>
            </w:r>
          </w:p>
        </w:tc>
        <w:tc>
          <w:tcPr>
            <w:tcW w:w="659" w:type="dxa"/>
          </w:tcPr>
          <w:p w14:paraId="7DE60102" w14:textId="750CFDCD"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-3 894</w:t>
            </w:r>
          </w:p>
        </w:tc>
        <w:tc>
          <w:tcPr>
            <w:tcW w:w="660" w:type="dxa"/>
          </w:tcPr>
          <w:p w14:paraId="7BC19F83" w14:textId="38C176AE"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-5 321</w:t>
            </w:r>
          </w:p>
        </w:tc>
        <w:tc>
          <w:tcPr>
            <w:tcW w:w="659" w:type="dxa"/>
          </w:tcPr>
          <w:p w14:paraId="4E11531C" w14:textId="2DE5DD94"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-5 031</w:t>
            </w:r>
          </w:p>
        </w:tc>
        <w:tc>
          <w:tcPr>
            <w:tcW w:w="659" w:type="dxa"/>
          </w:tcPr>
          <w:p w14:paraId="09AE3004" w14:textId="45B153D9"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-5 389</w:t>
            </w:r>
          </w:p>
        </w:tc>
        <w:tc>
          <w:tcPr>
            <w:tcW w:w="660" w:type="dxa"/>
          </w:tcPr>
          <w:p w14:paraId="7A74D0EE" w14:textId="485B8F08"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-4 506</w:t>
            </w:r>
          </w:p>
        </w:tc>
        <w:tc>
          <w:tcPr>
            <w:tcW w:w="659" w:type="dxa"/>
          </w:tcPr>
          <w:p w14:paraId="6E80459A" w14:textId="202B80EC"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-2 178</w:t>
            </w:r>
          </w:p>
        </w:tc>
        <w:tc>
          <w:tcPr>
            <w:tcW w:w="659" w:type="dxa"/>
          </w:tcPr>
          <w:p w14:paraId="49FB0A9F" w14:textId="7E429014"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-3 195</w:t>
            </w:r>
          </w:p>
        </w:tc>
        <w:tc>
          <w:tcPr>
            <w:tcW w:w="660" w:type="dxa"/>
          </w:tcPr>
          <w:p w14:paraId="3ED36255" w14:textId="05644B77"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-4 853</w:t>
            </w:r>
          </w:p>
        </w:tc>
        <w:tc>
          <w:tcPr>
            <w:tcW w:w="659" w:type="dxa"/>
          </w:tcPr>
          <w:p w14:paraId="4E703849" w14:textId="3BE60166"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-268</w:t>
            </w:r>
          </w:p>
        </w:tc>
        <w:tc>
          <w:tcPr>
            <w:tcW w:w="659" w:type="dxa"/>
          </w:tcPr>
          <w:p w14:paraId="422C2774" w14:textId="3420E463"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-1 387</w:t>
            </w:r>
          </w:p>
        </w:tc>
        <w:tc>
          <w:tcPr>
            <w:tcW w:w="660" w:type="dxa"/>
          </w:tcPr>
          <w:p w14:paraId="32F26C4D" w14:textId="5E8FCA39"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-10 970</w:t>
            </w:r>
          </w:p>
        </w:tc>
        <w:tc>
          <w:tcPr>
            <w:tcW w:w="659" w:type="dxa"/>
          </w:tcPr>
          <w:p w14:paraId="193193AD" w14:textId="3C22B665"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-13 928</w:t>
            </w:r>
          </w:p>
        </w:tc>
        <w:tc>
          <w:tcPr>
            <w:tcW w:w="660" w:type="dxa"/>
          </w:tcPr>
          <w:p w14:paraId="1DFB1530" w14:textId="3ABD82D3"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-19 310</w:t>
            </w:r>
          </w:p>
        </w:tc>
      </w:tr>
      <w:tr w:rsidR="00813BFF" w:rsidRPr="00813BFF" w14:paraId="231578B2" w14:textId="77777777" w:rsidTr="00010D78">
        <w:tc>
          <w:tcPr>
            <w:cnfStyle w:val="001000000000" w:firstRow="0" w:lastRow="0" w:firstColumn="1" w:lastColumn="0" w:oddVBand="0" w:evenVBand="0" w:oddHBand="0" w:evenHBand="0" w:firstRowFirstColumn="0" w:firstRowLastColumn="0" w:lastRowFirstColumn="0" w:lastRowLastColumn="0"/>
            <w:tcW w:w="953" w:type="dxa"/>
          </w:tcPr>
          <w:p w14:paraId="7B2519D0" w14:textId="77777777" w:rsidR="00813BFF" w:rsidRPr="00813BFF" w:rsidRDefault="00813BFF" w:rsidP="00813BFF">
            <w:pPr>
              <w:keepNext/>
              <w:keepLines/>
              <w:spacing w:before="150" w:after="75" w:line="240" w:lineRule="auto"/>
              <w:textAlignment w:val="baseline"/>
              <w:rPr>
                <w:rFonts w:asciiTheme="minorHAnsi" w:hAnsiTheme="minorHAnsi"/>
                <w:sz w:val="14"/>
                <w:szCs w:val="24"/>
              </w:rPr>
            </w:pPr>
            <w:r w:rsidRPr="00813BFF">
              <w:rPr>
                <w:rFonts w:asciiTheme="minorHAnsi" w:hAnsiTheme="minorHAnsi"/>
                <w:sz w:val="14"/>
                <w:szCs w:val="24"/>
              </w:rPr>
              <w:t>Inntekter</w:t>
            </w:r>
          </w:p>
        </w:tc>
        <w:tc>
          <w:tcPr>
            <w:tcW w:w="659" w:type="dxa"/>
          </w:tcPr>
          <w:p w14:paraId="595C2DBB" w14:textId="181BF19F"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-29 657</w:t>
            </w:r>
          </w:p>
        </w:tc>
        <w:tc>
          <w:tcPr>
            <w:tcW w:w="659" w:type="dxa"/>
          </w:tcPr>
          <w:p w14:paraId="405351CD" w14:textId="458C486E"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-25 638</w:t>
            </w:r>
          </w:p>
        </w:tc>
        <w:tc>
          <w:tcPr>
            <w:tcW w:w="660" w:type="dxa"/>
          </w:tcPr>
          <w:p w14:paraId="5775EA68" w14:textId="33790D41"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-20 781</w:t>
            </w:r>
          </w:p>
        </w:tc>
        <w:tc>
          <w:tcPr>
            <w:tcW w:w="659" w:type="dxa"/>
          </w:tcPr>
          <w:p w14:paraId="61AE75D1" w14:textId="4487502C"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-23 391</w:t>
            </w:r>
          </w:p>
        </w:tc>
        <w:tc>
          <w:tcPr>
            <w:tcW w:w="659" w:type="dxa"/>
          </w:tcPr>
          <w:p w14:paraId="7CEAAB30" w14:textId="375BF851"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-17 513</w:t>
            </w:r>
          </w:p>
        </w:tc>
        <w:tc>
          <w:tcPr>
            <w:tcW w:w="660" w:type="dxa"/>
          </w:tcPr>
          <w:p w14:paraId="51B64F97" w14:textId="0EB5FB7D"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-15 994</w:t>
            </w:r>
          </w:p>
        </w:tc>
        <w:tc>
          <w:tcPr>
            <w:tcW w:w="659" w:type="dxa"/>
          </w:tcPr>
          <w:p w14:paraId="5A183722" w14:textId="4E9FE24C"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-17 098</w:t>
            </w:r>
          </w:p>
        </w:tc>
        <w:tc>
          <w:tcPr>
            <w:tcW w:w="659" w:type="dxa"/>
          </w:tcPr>
          <w:p w14:paraId="6E08070A" w14:textId="6F90661E"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-25 429</w:t>
            </w:r>
          </w:p>
        </w:tc>
        <w:tc>
          <w:tcPr>
            <w:tcW w:w="660" w:type="dxa"/>
          </w:tcPr>
          <w:p w14:paraId="4502F5DB" w14:textId="57446C92"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-20 409</w:t>
            </w:r>
          </w:p>
        </w:tc>
        <w:tc>
          <w:tcPr>
            <w:tcW w:w="659" w:type="dxa"/>
          </w:tcPr>
          <w:p w14:paraId="1D9EA9B4" w14:textId="3BCB7CAD"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-25 797</w:t>
            </w:r>
          </w:p>
        </w:tc>
        <w:tc>
          <w:tcPr>
            <w:tcW w:w="659" w:type="dxa"/>
          </w:tcPr>
          <w:p w14:paraId="6AE11B61" w14:textId="6B5EB6B1"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-32 092</w:t>
            </w:r>
          </w:p>
        </w:tc>
        <w:tc>
          <w:tcPr>
            <w:tcW w:w="660" w:type="dxa"/>
          </w:tcPr>
          <w:p w14:paraId="58E452E5" w14:textId="5990C0D1"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-29 119</w:t>
            </w:r>
          </w:p>
        </w:tc>
        <w:tc>
          <w:tcPr>
            <w:tcW w:w="659" w:type="dxa"/>
          </w:tcPr>
          <w:p w14:paraId="4A4D025E" w14:textId="7ADE9A46"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-33 475</w:t>
            </w:r>
          </w:p>
        </w:tc>
        <w:tc>
          <w:tcPr>
            <w:tcW w:w="660" w:type="dxa"/>
          </w:tcPr>
          <w:p w14:paraId="0760AE90" w14:textId="25FC484B"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-39 860</w:t>
            </w:r>
          </w:p>
        </w:tc>
      </w:tr>
      <w:tr w:rsidR="00813BFF" w:rsidRPr="00813BFF" w14:paraId="6BDFAB3F" w14:textId="77777777" w:rsidTr="00010D78">
        <w:tc>
          <w:tcPr>
            <w:cnfStyle w:val="001000000000" w:firstRow="0" w:lastRow="0" w:firstColumn="1" w:lastColumn="0" w:oddVBand="0" w:evenVBand="0" w:oddHBand="0" w:evenHBand="0" w:firstRowFirstColumn="0" w:firstRowLastColumn="0" w:lastRowFirstColumn="0" w:lastRowLastColumn="0"/>
            <w:tcW w:w="953" w:type="dxa"/>
          </w:tcPr>
          <w:p w14:paraId="09C408DA" w14:textId="77777777" w:rsidR="00813BFF" w:rsidRPr="00813BFF" w:rsidRDefault="00813BFF" w:rsidP="00813BFF">
            <w:pPr>
              <w:keepNext/>
              <w:keepLines/>
              <w:spacing w:before="150" w:after="75" w:line="240" w:lineRule="auto"/>
              <w:textAlignment w:val="baseline"/>
              <w:rPr>
                <w:rFonts w:asciiTheme="minorHAnsi" w:hAnsiTheme="minorHAnsi"/>
                <w:sz w:val="14"/>
                <w:szCs w:val="24"/>
              </w:rPr>
            </w:pPr>
            <w:r w:rsidRPr="00813BFF">
              <w:rPr>
                <w:rFonts w:asciiTheme="minorHAnsi" w:hAnsiTheme="minorHAnsi"/>
                <w:sz w:val="14"/>
                <w:szCs w:val="24"/>
              </w:rPr>
              <w:t>Personal</w:t>
            </w:r>
          </w:p>
        </w:tc>
        <w:tc>
          <w:tcPr>
            <w:tcW w:w="659" w:type="dxa"/>
          </w:tcPr>
          <w:p w14:paraId="409451E9" w14:textId="4E74CED5"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19 793</w:t>
            </w:r>
          </w:p>
        </w:tc>
        <w:tc>
          <w:tcPr>
            <w:tcW w:w="659" w:type="dxa"/>
          </w:tcPr>
          <w:p w14:paraId="151732C3" w14:textId="2953CEA5"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17 255</w:t>
            </w:r>
          </w:p>
        </w:tc>
        <w:tc>
          <w:tcPr>
            <w:tcW w:w="660" w:type="dxa"/>
          </w:tcPr>
          <w:p w14:paraId="36031185" w14:textId="0C1C16A6"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16 358</w:t>
            </w:r>
          </w:p>
        </w:tc>
        <w:tc>
          <w:tcPr>
            <w:tcW w:w="659" w:type="dxa"/>
          </w:tcPr>
          <w:p w14:paraId="2EC3FB60" w14:textId="31E34EDE"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16 171</w:t>
            </w:r>
          </w:p>
        </w:tc>
        <w:tc>
          <w:tcPr>
            <w:tcW w:w="659" w:type="dxa"/>
          </w:tcPr>
          <w:p w14:paraId="2F8F6678" w14:textId="7EBC4F99"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14 625</w:t>
            </w:r>
          </w:p>
        </w:tc>
        <w:tc>
          <w:tcPr>
            <w:tcW w:w="660" w:type="dxa"/>
          </w:tcPr>
          <w:p w14:paraId="2B5AE635" w14:textId="478CFA01"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14 724</w:t>
            </w:r>
          </w:p>
        </w:tc>
        <w:tc>
          <w:tcPr>
            <w:tcW w:w="659" w:type="dxa"/>
          </w:tcPr>
          <w:p w14:paraId="593E4636" w14:textId="2693F51B"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13 981</w:t>
            </w:r>
          </w:p>
        </w:tc>
        <w:tc>
          <w:tcPr>
            <w:tcW w:w="659" w:type="dxa"/>
          </w:tcPr>
          <w:p w14:paraId="45185FFB" w14:textId="405F41FD"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17 686</w:t>
            </w:r>
          </w:p>
        </w:tc>
        <w:tc>
          <w:tcPr>
            <w:tcW w:w="660" w:type="dxa"/>
          </w:tcPr>
          <w:p w14:paraId="5326FC45" w14:textId="63B50783"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18 427</w:t>
            </w:r>
          </w:p>
        </w:tc>
        <w:tc>
          <w:tcPr>
            <w:tcW w:w="659" w:type="dxa"/>
          </w:tcPr>
          <w:p w14:paraId="19A8C5F9" w14:textId="74EEA84A"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19 283</w:t>
            </w:r>
          </w:p>
        </w:tc>
        <w:tc>
          <w:tcPr>
            <w:tcW w:w="659" w:type="dxa"/>
          </w:tcPr>
          <w:p w14:paraId="7ABFB24D" w14:textId="5BDBAC65"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19 854</w:t>
            </w:r>
          </w:p>
        </w:tc>
        <w:tc>
          <w:tcPr>
            <w:tcW w:w="660" w:type="dxa"/>
          </w:tcPr>
          <w:p w14:paraId="272833CD" w14:textId="40575D7B"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22 981</w:t>
            </w:r>
          </w:p>
        </w:tc>
        <w:tc>
          <w:tcPr>
            <w:tcW w:w="659" w:type="dxa"/>
          </w:tcPr>
          <w:p w14:paraId="4C5814D1" w14:textId="03747C14"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24 568</w:t>
            </w:r>
          </w:p>
        </w:tc>
        <w:tc>
          <w:tcPr>
            <w:tcW w:w="660" w:type="dxa"/>
          </w:tcPr>
          <w:p w14:paraId="6A236B7E" w14:textId="7C506774"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29 747</w:t>
            </w:r>
          </w:p>
        </w:tc>
      </w:tr>
      <w:tr w:rsidR="00813BFF" w:rsidRPr="00813BFF" w14:paraId="31010781" w14:textId="77777777" w:rsidTr="00010D78">
        <w:tc>
          <w:tcPr>
            <w:cnfStyle w:val="001000000000" w:firstRow="0" w:lastRow="0" w:firstColumn="1" w:lastColumn="0" w:oddVBand="0" w:evenVBand="0" w:oddHBand="0" w:evenHBand="0" w:firstRowFirstColumn="0" w:firstRowLastColumn="0" w:lastRowFirstColumn="0" w:lastRowLastColumn="0"/>
            <w:tcW w:w="953" w:type="dxa"/>
          </w:tcPr>
          <w:p w14:paraId="7EB96DFE" w14:textId="77777777" w:rsidR="00813BFF" w:rsidRPr="00813BFF" w:rsidRDefault="00813BFF" w:rsidP="00813BFF">
            <w:pPr>
              <w:keepNext/>
              <w:keepLines/>
              <w:spacing w:before="150" w:after="75" w:line="240" w:lineRule="auto"/>
              <w:textAlignment w:val="baseline"/>
              <w:rPr>
                <w:rFonts w:asciiTheme="minorHAnsi" w:hAnsiTheme="minorHAnsi"/>
                <w:sz w:val="14"/>
                <w:szCs w:val="24"/>
              </w:rPr>
            </w:pPr>
            <w:r w:rsidRPr="00813BFF">
              <w:rPr>
                <w:rFonts w:asciiTheme="minorHAnsi" w:hAnsiTheme="minorHAnsi"/>
                <w:sz w:val="14"/>
                <w:szCs w:val="24"/>
              </w:rPr>
              <w:t>Drift</w:t>
            </w:r>
          </w:p>
        </w:tc>
        <w:tc>
          <w:tcPr>
            <w:tcW w:w="659" w:type="dxa"/>
          </w:tcPr>
          <w:p w14:paraId="2ABDAEDF" w14:textId="474041B3"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6 125</w:t>
            </w:r>
          </w:p>
        </w:tc>
        <w:tc>
          <w:tcPr>
            <w:tcW w:w="659" w:type="dxa"/>
          </w:tcPr>
          <w:p w14:paraId="49EA75C1" w14:textId="3C647D43"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6 947</w:t>
            </w:r>
          </w:p>
        </w:tc>
        <w:tc>
          <w:tcPr>
            <w:tcW w:w="660" w:type="dxa"/>
          </w:tcPr>
          <w:p w14:paraId="42B457A9" w14:textId="341E69E5"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4 612</w:t>
            </w:r>
          </w:p>
        </w:tc>
        <w:tc>
          <w:tcPr>
            <w:tcW w:w="659" w:type="dxa"/>
          </w:tcPr>
          <w:p w14:paraId="1B93D37A" w14:textId="320953CE"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6 534</w:t>
            </w:r>
          </w:p>
        </w:tc>
        <w:tc>
          <w:tcPr>
            <w:tcW w:w="659" w:type="dxa"/>
          </w:tcPr>
          <w:p w14:paraId="1124A413" w14:textId="0C2BECFA"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4 116</w:t>
            </w:r>
          </w:p>
        </w:tc>
        <w:tc>
          <w:tcPr>
            <w:tcW w:w="660" w:type="dxa"/>
          </w:tcPr>
          <w:p w14:paraId="45B71B95" w14:textId="7EBE7DD9"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3 072</w:t>
            </w:r>
          </w:p>
        </w:tc>
        <w:tc>
          <w:tcPr>
            <w:tcW w:w="659" w:type="dxa"/>
          </w:tcPr>
          <w:p w14:paraId="1CAA0331" w14:textId="222C43AE"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2 984</w:t>
            </w:r>
          </w:p>
        </w:tc>
        <w:tc>
          <w:tcPr>
            <w:tcW w:w="659" w:type="dxa"/>
          </w:tcPr>
          <w:p w14:paraId="41491D08" w14:textId="389F3D32"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5 827</w:t>
            </w:r>
          </w:p>
        </w:tc>
        <w:tc>
          <w:tcPr>
            <w:tcW w:w="660" w:type="dxa"/>
          </w:tcPr>
          <w:p w14:paraId="2CEB9885" w14:textId="7F5A0BFB"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6 316</w:t>
            </w:r>
          </w:p>
        </w:tc>
        <w:tc>
          <w:tcPr>
            <w:tcW w:w="659" w:type="dxa"/>
          </w:tcPr>
          <w:p w14:paraId="6546ED46" w14:textId="299076E4"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4 784</w:t>
            </w:r>
          </w:p>
        </w:tc>
        <w:tc>
          <w:tcPr>
            <w:tcW w:w="659" w:type="dxa"/>
          </w:tcPr>
          <w:p w14:paraId="6D0970CA" w14:textId="45D9D446"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2 846</w:t>
            </w:r>
          </w:p>
        </w:tc>
        <w:tc>
          <w:tcPr>
            <w:tcW w:w="660" w:type="dxa"/>
          </w:tcPr>
          <w:p w14:paraId="1E38F7D6" w14:textId="3CCB317A"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2 929</w:t>
            </w:r>
          </w:p>
        </w:tc>
        <w:tc>
          <w:tcPr>
            <w:tcW w:w="659" w:type="dxa"/>
          </w:tcPr>
          <w:p w14:paraId="0A88895D" w14:textId="5E7E9399"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3 676</w:t>
            </w:r>
          </w:p>
        </w:tc>
        <w:tc>
          <w:tcPr>
            <w:tcW w:w="660" w:type="dxa"/>
          </w:tcPr>
          <w:p w14:paraId="330A663D" w14:textId="16FC1D81"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4 598</w:t>
            </w:r>
          </w:p>
        </w:tc>
      </w:tr>
      <w:tr w:rsidR="00813BFF" w:rsidRPr="00813BFF" w14:paraId="7EB541E0" w14:textId="77777777" w:rsidTr="00010D78">
        <w:tc>
          <w:tcPr>
            <w:cnfStyle w:val="001000000000" w:firstRow="0" w:lastRow="0" w:firstColumn="1" w:lastColumn="0" w:oddVBand="0" w:evenVBand="0" w:oddHBand="0" w:evenHBand="0" w:firstRowFirstColumn="0" w:firstRowLastColumn="0" w:lastRowFirstColumn="0" w:lastRowLastColumn="0"/>
            <w:tcW w:w="953" w:type="dxa"/>
          </w:tcPr>
          <w:p w14:paraId="0F89B56F" w14:textId="77777777" w:rsidR="00813BFF" w:rsidRPr="00813BFF" w:rsidRDefault="00813BFF" w:rsidP="00813BFF">
            <w:pPr>
              <w:keepNext/>
              <w:keepLines/>
              <w:spacing w:before="150" w:after="75" w:line="240" w:lineRule="auto"/>
              <w:textAlignment w:val="baseline"/>
              <w:rPr>
                <w:rFonts w:asciiTheme="minorHAnsi" w:hAnsiTheme="minorHAnsi"/>
                <w:sz w:val="14"/>
                <w:szCs w:val="24"/>
              </w:rPr>
            </w:pPr>
            <w:r w:rsidRPr="00813BFF">
              <w:rPr>
                <w:rFonts w:asciiTheme="minorHAnsi" w:hAnsiTheme="minorHAnsi"/>
                <w:sz w:val="14"/>
                <w:szCs w:val="24"/>
              </w:rPr>
              <w:t>Investering</w:t>
            </w:r>
          </w:p>
        </w:tc>
        <w:tc>
          <w:tcPr>
            <w:tcW w:w="659" w:type="dxa"/>
          </w:tcPr>
          <w:p w14:paraId="3102276F" w14:textId="09F7895F"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107</w:t>
            </w:r>
          </w:p>
        </w:tc>
        <w:tc>
          <w:tcPr>
            <w:tcW w:w="659" w:type="dxa"/>
          </w:tcPr>
          <w:p w14:paraId="3AAFAB6F" w14:textId="77777777"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p>
        </w:tc>
        <w:tc>
          <w:tcPr>
            <w:tcW w:w="660" w:type="dxa"/>
          </w:tcPr>
          <w:p w14:paraId="0050A090" w14:textId="3FC3EAC3"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100</w:t>
            </w:r>
          </w:p>
        </w:tc>
        <w:tc>
          <w:tcPr>
            <w:tcW w:w="659" w:type="dxa"/>
          </w:tcPr>
          <w:p w14:paraId="302C629F" w14:textId="00EFBD10"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251</w:t>
            </w:r>
          </w:p>
        </w:tc>
        <w:tc>
          <w:tcPr>
            <w:tcW w:w="659" w:type="dxa"/>
          </w:tcPr>
          <w:p w14:paraId="31D02AFB" w14:textId="6998B35E"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190</w:t>
            </w:r>
          </w:p>
        </w:tc>
        <w:tc>
          <w:tcPr>
            <w:tcW w:w="660" w:type="dxa"/>
          </w:tcPr>
          <w:p w14:paraId="1A0DB069" w14:textId="26F558E0"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565</w:t>
            </w:r>
          </w:p>
        </w:tc>
        <w:tc>
          <w:tcPr>
            <w:tcW w:w="659" w:type="dxa"/>
          </w:tcPr>
          <w:p w14:paraId="1A355BBA" w14:textId="3AA57DBF"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176</w:t>
            </w:r>
          </w:p>
        </w:tc>
        <w:tc>
          <w:tcPr>
            <w:tcW w:w="659" w:type="dxa"/>
          </w:tcPr>
          <w:p w14:paraId="0C0CAF29" w14:textId="1BE4AD4C"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266</w:t>
            </w:r>
          </w:p>
        </w:tc>
        <w:tc>
          <w:tcPr>
            <w:tcW w:w="660" w:type="dxa"/>
          </w:tcPr>
          <w:p w14:paraId="5DA88166" w14:textId="57C39C85"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233</w:t>
            </w:r>
          </w:p>
        </w:tc>
        <w:tc>
          <w:tcPr>
            <w:tcW w:w="659" w:type="dxa"/>
          </w:tcPr>
          <w:p w14:paraId="2479072A" w14:textId="0B642916"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245</w:t>
            </w:r>
          </w:p>
        </w:tc>
        <w:tc>
          <w:tcPr>
            <w:tcW w:w="659" w:type="dxa"/>
          </w:tcPr>
          <w:p w14:paraId="52149951" w14:textId="4941B1D2"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175</w:t>
            </w:r>
          </w:p>
        </w:tc>
        <w:tc>
          <w:tcPr>
            <w:tcW w:w="660" w:type="dxa"/>
          </w:tcPr>
          <w:p w14:paraId="7B4AA811" w14:textId="201757FE"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262</w:t>
            </w:r>
          </w:p>
        </w:tc>
        <w:tc>
          <w:tcPr>
            <w:tcW w:w="659" w:type="dxa"/>
          </w:tcPr>
          <w:p w14:paraId="7A1E86BD" w14:textId="5E4E2413"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197</w:t>
            </w:r>
          </w:p>
        </w:tc>
        <w:tc>
          <w:tcPr>
            <w:tcW w:w="660" w:type="dxa"/>
          </w:tcPr>
          <w:p w14:paraId="0023F687" w14:textId="5BD57D17"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298</w:t>
            </w:r>
          </w:p>
        </w:tc>
      </w:tr>
      <w:tr w:rsidR="00813BFF" w:rsidRPr="00813BFF" w14:paraId="05BF0E93" w14:textId="77777777" w:rsidTr="00010D78">
        <w:trPr>
          <w:trHeight w:val="138"/>
        </w:trPr>
        <w:tc>
          <w:tcPr>
            <w:cnfStyle w:val="001000000000" w:firstRow="0" w:lastRow="0" w:firstColumn="1" w:lastColumn="0" w:oddVBand="0" w:evenVBand="0" w:oddHBand="0" w:evenHBand="0" w:firstRowFirstColumn="0" w:firstRowLastColumn="0" w:lastRowFirstColumn="0" w:lastRowLastColumn="0"/>
            <w:tcW w:w="953" w:type="dxa"/>
          </w:tcPr>
          <w:p w14:paraId="0AAD2E5C" w14:textId="77777777" w:rsidR="00813BFF" w:rsidRPr="00813BFF" w:rsidRDefault="00813BFF" w:rsidP="00813BFF">
            <w:pPr>
              <w:keepNext/>
              <w:keepLines/>
              <w:spacing w:before="150" w:after="75" w:line="240" w:lineRule="auto"/>
              <w:textAlignment w:val="baseline"/>
              <w:rPr>
                <w:rFonts w:asciiTheme="minorHAnsi" w:hAnsiTheme="minorHAnsi"/>
                <w:sz w:val="14"/>
                <w:szCs w:val="24"/>
              </w:rPr>
            </w:pPr>
            <w:r w:rsidRPr="00813BFF">
              <w:rPr>
                <w:rFonts w:asciiTheme="minorHAnsi" w:hAnsiTheme="minorHAnsi"/>
                <w:sz w:val="14"/>
                <w:szCs w:val="24"/>
              </w:rPr>
              <w:t>Resultat</w:t>
            </w:r>
          </w:p>
        </w:tc>
        <w:tc>
          <w:tcPr>
            <w:tcW w:w="659" w:type="dxa"/>
          </w:tcPr>
          <w:p w14:paraId="30D82437" w14:textId="59DEE66A"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-3 632</w:t>
            </w:r>
          </w:p>
        </w:tc>
        <w:tc>
          <w:tcPr>
            <w:tcW w:w="659" w:type="dxa"/>
          </w:tcPr>
          <w:p w14:paraId="6EF20C92" w14:textId="76989815"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-1 436</w:t>
            </w:r>
          </w:p>
        </w:tc>
        <w:tc>
          <w:tcPr>
            <w:tcW w:w="660" w:type="dxa"/>
          </w:tcPr>
          <w:p w14:paraId="56D93EE4" w14:textId="00D225AF"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290</w:t>
            </w:r>
          </w:p>
        </w:tc>
        <w:tc>
          <w:tcPr>
            <w:tcW w:w="659" w:type="dxa"/>
          </w:tcPr>
          <w:p w14:paraId="674E826C" w14:textId="26E1712E"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-434</w:t>
            </w:r>
          </w:p>
        </w:tc>
        <w:tc>
          <w:tcPr>
            <w:tcW w:w="659" w:type="dxa"/>
          </w:tcPr>
          <w:p w14:paraId="49EE6205" w14:textId="22268D8B"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1 418</w:t>
            </w:r>
          </w:p>
        </w:tc>
        <w:tc>
          <w:tcPr>
            <w:tcW w:w="660" w:type="dxa"/>
          </w:tcPr>
          <w:p w14:paraId="59332C29" w14:textId="6E0DA0EB"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2 367</w:t>
            </w:r>
          </w:p>
        </w:tc>
        <w:tc>
          <w:tcPr>
            <w:tcW w:w="659" w:type="dxa"/>
          </w:tcPr>
          <w:p w14:paraId="1B3212A3" w14:textId="796D2DB3"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44</w:t>
            </w:r>
          </w:p>
        </w:tc>
        <w:tc>
          <w:tcPr>
            <w:tcW w:w="659" w:type="dxa"/>
          </w:tcPr>
          <w:p w14:paraId="6B01C6B6" w14:textId="6304E575"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-1 650</w:t>
            </w:r>
          </w:p>
        </w:tc>
        <w:tc>
          <w:tcPr>
            <w:tcW w:w="660" w:type="dxa"/>
          </w:tcPr>
          <w:p w14:paraId="3E31299B" w14:textId="2F2DE1EB"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4 568</w:t>
            </w:r>
          </w:p>
        </w:tc>
        <w:tc>
          <w:tcPr>
            <w:tcW w:w="659" w:type="dxa"/>
          </w:tcPr>
          <w:p w14:paraId="7F15F1F3" w14:textId="63C426DC"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-1 485</w:t>
            </w:r>
          </w:p>
        </w:tc>
        <w:tc>
          <w:tcPr>
            <w:tcW w:w="659" w:type="dxa"/>
          </w:tcPr>
          <w:p w14:paraId="07F004E5" w14:textId="4BD5949C"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-9 217</w:t>
            </w:r>
          </w:p>
        </w:tc>
        <w:tc>
          <w:tcPr>
            <w:tcW w:w="660" w:type="dxa"/>
          </w:tcPr>
          <w:p w14:paraId="1DF8845C" w14:textId="7B484B5D"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-2 947</w:t>
            </w:r>
          </w:p>
        </w:tc>
        <w:tc>
          <w:tcPr>
            <w:tcW w:w="659" w:type="dxa"/>
          </w:tcPr>
          <w:p w14:paraId="61FA759E" w14:textId="13BFAFD9"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-5 034</w:t>
            </w:r>
          </w:p>
        </w:tc>
        <w:tc>
          <w:tcPr>
            <w:tcW w:w="660" w:type="dxa"/>
          </w:tcPr>
          <w:p w14:paraId="607F1114" w14:textId="4B5D9B45" w:rsidR="00813BFF" w:rsidRPr="00813BFF" w:rsidRDefault="00813BFF" w:rsidP="00813BFF">
            <w:pPr>
              <w:keepNext/>
              <w:keepLines/>
              <w:spacing w:before="150" w:after="75" w:line="240" w:lineRule="auto"/>
              <w:jc w:val="righ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-5 216</w:t>
            </w:r>
          </w:p>
        </w:tc>
      </w:tr>
      <w:tr w:rsidR="00813BFF" w:rsidRPr="00813BFF" w14:paraId="2D1DC442" w14:textId="77777777" w:rsidTr="00010D78">
        <w:trPr>
          <w:cnfStyle w:val="010000000000" w:firstRow="0" w:lastRow="1"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953" w:type="dxa"/>
          </w:tcPr>
          <w:p w14:paraId="0D9EDCDF" w14:textId="77777777" w:rsidR="00813BFF" w:rsidRPr="00813BFF" w:rsidRDefault="00813BFF" w:rsidP="00813BFF">
            <w:pPr>
              <w:keepNext/>
              <w:keepLines/>
              <w:spacing w:before="150" w:after="75" w:line="240" w:lineRule="auto"/>
              <w:textAlignment w:val="baseline"/>
              <w:rPr>
                <w:rFonts w:asciiTheme="minorHAnsi" w:hAnsiTheme="minorHAnsi"/>
                <w:sz w:val="14"/>
                <w:szCs w:val="24"/>
              </w:rPr>
            </w:pPr>
            <w:r w:rsidRPr="00813BFF">
              <w:rPr>
                <w:rFonts w:asciiTheme="minorHAnsi" w:hAnsiTheme="minorHAnsi"/>
                <w:sz w:val="14"/>
                <w:szCs w:val="24"/>
              </w:rPr>
              <w:t>Akkumulert</w:t>
            </w:r>
          </w:p>
        </w:tc>
        <w:tc>
          <w:tcPr>
            <w:tcW w:w="659" w:type="dxa"/>
          </w:tcPr>
          <w:p w14:paraId="228C04B8" w14:textId="52B7C149"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-3 867</w:t>
            </w:r>
          </w:p>
        </w:tc>
        <w:tc>
          <w:tcPr>
            <w:tcW w:w="659" w:type="dxa"/>
          </w:tcPr>
          <w:p w14:paraId="709DD90A" w14:textId="1764503E"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-5 330</w:t>
            </w:r>
          </w:p>
        </w:tc>
        <w:tc>
          <w:tcPr>
            <w:tcW w:w="660" w:type="dxa"/>
          </w:tcPr>
          <w:p w14:paraId="729C386F" w14:textId="519F7289"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-5 031</w:t>
            </w:r>
          </w:p>
        </w:tc>
        <w:tc>
          <w:tcPr>
            <w:tcW w:w="659" w:type="dxa"/>
          </w:tcPr>
          <w:p w14:paraId="6E2DF86D" w14:textId="461BF04F"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-5 465</w:t>
            </w:r>
          </w:p>
        </w:tc>
        <w:tc>
          <w:tcPr>
            <w:tcW w:w="659" w:type="dxa"/>
          </w:tcPr>
          <w:p w14:paraId="74A06268" w14:textId="5A1C5702"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-3 971</w:t>
            </w:r>
          </w:p>
        </w:tc>
        <w:tc>
          <w:tcPr>
            <w:tcW w:w="660" w:type="dxa"/>
          </w:tcPr>
          <w:p w14:paraId="47EC36E0" w14:textId="7BF6BC15"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-2 138</w:t>
            </w:r>
          </w:p>
        </w:tc>
        <w:tc>
          <w:tcPr>
            <w:tcW w:w="659" w:type="dxa"/>
          </w:tcPr>
          <w:p w14:paraId="4C021C65" w14:textId="138CF27A"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-2 134</w:t>
            </w:r>
          </w:p>
        </w:tc>
        <w:tc>
          <w:tcPr>
            <w:tcW w:w="659" w:type="dxa"/>
          </w:tcPr>
          <w:p w14:paraId="0808338C" w14:textId="08F38764"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-4 845</w:t>
            </w:r>
          </w:p>
        </w:tc>
        <w:tc>
          <w:tcPr>
            <w:tcW w:w="660" w:type="dxa"/>
          </w:tcPr>
          <w:p w14:paraId="3DAE4811" w14:textId="1CB50FC2"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-285</w:t>
            </w:r>
          </w:p>
        </w:tc>
        <w:tc>
          <w:tcPr>
            <w:tcW w:w="659" w:type="dxa"/>
          </w:tcPr>
          <w:p w14:paraId="620F9595" w14:textId="16364A87"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-1 754</w:t>
            </w:r>
          </w:p>
        </w:tc>
        <w:tc>
          <w:tcPr>
            <w:tcW w:w="659" w:type="dxa"/>
          </w:tcPr>
          <w:p w14:paraId="0AEA5411" w14:textId="18BB014E"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-10 604</w:t>
            </w:r>
          </w:p>
        </w:tc>
        <w:tc>
          <w:tcPr>
            <w:tcW w:w="660" w:type="dxa"/>
          </w:tcPr>
          <w:p w14:paraId="5AA7C8F8" w14:textId="4C7E4F65"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-13 917</w:t>
            </w:r>
          </w:p>
        </w:tc>
        <w:tc>
          <w:tcPr>
            <w:tcW w:w="659" w:type="dxa"/>
          </w:tcPr>
          <w:p w14:paraId="71D5C628" w14:textId="5F0A055B"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-18 962</w:t>
            </w:r>
          </w:p>
        </w:tc>
        <w:tc>
          <w:tcPr>
            <w:tcW w:w="660" w:type="dxa"/>
          </w:tcPr>
          <w:p w14:paraId="311FD43C" w14:textId="266E2C8F" w:rsidR="00813BFF" w:rsidRPr="00813BFF" w:rsidRDefault="00813BFF" w:rsidP="00813BFF">
            <w:pPr>
              <w:keepNext/>
              <w:keepLines/>
              <w:spacing w:before="150" w:after="75" w:line="240" w:lineRule="auto"/>
              <w:jc w:val="right"/>
              <w:textAlignment w:val="baseline"/>
              <w:cnfStyle w:val="010000000000" w:firstRow="0" w:lastRow="1" w:firstColumn="0" w:lastColumn="0" w:oddVBand="0" w:evenVBand="0" w:oddHBand="0" w:evenHBand="0" w:firstRowFirstColumn="0" w:firstRowLastColumn="0" w:lastRowFirstColumn="0" w:lastRowLastColumn="0"/>
              <w:rPr>
                <w:rFonts w:asciiTheme="minorHAnsi" w:hAnsiTheme="minorHAnsi"/>
                <w:sz w:val="14"/>
                <w:szCs w:val="24"/>
              </w:rPr>
            </w:pPr>
            <w:r w:rsidRPr="00813BFF">
              <w:rPr>
                <w:sz w:val="14"/>
              </w:rPr>
              <w:t>-24 526</w:t>
            </w:r>
          </w:p>
        </w:tc>
      </w:tr>
    </w:tbl>
    <w:p w14:paraId="69FEF63C" w14:textId="77777777" w:rsidR="00010D78" w:rsidRDefault="00010D78" w:rsidP="00010D78">
      <w:pPr>
        <w:autoSpaceDE w:val="0"/>
        <w:autoSpaceDN w:val="0"/>
        <w:adjustRightInd w:val="0"/>
        <w:spacing w:after="0" w:line="240" w:lineRule="auto"/>
        <w:rPr>
          <w:rFonts w:ascii="Times New Roman" w:hAnsi="Times New Roman"/>
          <w:b/>
          <w:bCs/>
          <w:i/>
          <w:iCs/>
          <w:sz w:val="24"/>
          <w:szCs w:val="24"/>
        </w:rPr>
      </w:pPr>
    </w:p>
    <w:p w14:paraId="6D6EDB13" w14:textId="4161BADE" w:rsidR="00686ABD" w:rsidRDefault="003F5115" w:rsidP="00010D78">
      <w:pPr>
        <w:pStyle w:val="Heading1"/>
      </w:pPr>
      <w:r>
        <w:t>Vurderinger</w:t>
      </w:r>
    </w:p>
    <w:p w14:paraId="6E017315" w14:textId="121433D7" w:rsidR="005F567C" w:rsidRDefault="005F567C" w:rsidP="00A5579C">
      <w:r>
        <w:t xml:space="preserve">Innledningsvis skal det understrekes at formålet med </w:t>
      </w:r>
      <w:r w:rsidR="009B0415">
        <w:t xml:space="preserve">forslaget om </w:t>
      </w:r>
      <w:r>
        <w:t>å endre den organisatoriske innplasseringen</w:t>
      </w:r>
      <w:r w:rsidR="009B0415">
        <w:t xml:space="preserve"> av </w:t>
      </w:r>
      <w:r w:rsidR="006433B0">
        <w:t>ARENA og TIK</w:t>
      </w:r>
      <w:r>
        <w:t xml:space="preserve">, ikke har vært å </w:t>
      </w:r>
      <w:r w:rsidR="006433B0">
        <w:t>gjennomføre</w:t>
      </w:r>
      <w:r>
        <w:t xml:space="preserve"> en bestemt </w:t>
      </w:r>
      <w:r w:rsidR="009B0415">
        <w:t>forandring</w:t>
      </w:r>
      <w:r w:rsidR="006433B0">
        <w:t xml:space="preserve"> av innretningen av sentrene</w:t>
      </w:r>
      <w:r>
        <w:t xml:space="preserve">, enn si å nedlegge dem. </w:t>
      </w:r>
      <w:r w:rsidR="006433B0">
        <w:t xml:space="preserve">Det innebærer spesielt at omorganiseringen ikke er ment å ha direkte konsekvenser for forskningsaktiviteten og undervisningstilbudet, slik mange har fryktet. </w:t>
      </w:r>
      <w:r>
        <w:t xml:space="preserve">At en endring av innplasseringen på sikt kan lede til en annen utvikling enn den man ville </w:t>
      </w:r>
      <w:r w:rsidR="006433B0">
        <w:t>fått</w:t>
      </w:r>
      <w:r>
        <w:t xml:space="preserve"> dersom dagens organisering beholdes, kan imidlertid tenkes; </w:t>
      </w:r>
      <w:r w:rsidR="00586BE4">
        <w:t>hensikten</w:t>
      </w:r>
      <w:r>
        <w:t xml:space="preserve"> må være å velge en organisering som best mulig legger til</w:t>
      </w:r>
      <w:r w:rsidR="00991761">
        <w:t xml:space="preserve"> </w:t>
      </w:r>
      <w:r>
        <w:t>rette for en utvikling i henhold til fakultetets og universitetets målsetninger.</w:t>
      </w:r>
      <w:r w:rsidR="009B0415">
        <w:t xml:space="preserve"> Uaktet organisering kan det være aktuelt for fakultetet å legge føringer som bidrar til en ønsket utvikling.</w:t>
      </w:r>
    </w:p>
    <w:p w14:paraId="0880F5FD" w14:textId="01AEC45F" w:rsidR="006433B0" w:rsidRDefault="006433B0" w:rsidP="00A5579C">
      <w:r>
        <w:lastRenderedPageBreak/>
        <w:t>I vurderingen av fordeler og ulemper ved en annen innplassering av ARENA og TIK</w:t>
      </w:r>
      <w:r w:rsidR="00AF11AF">
        <w:t>,</w:t>
      </w:r>
      <w:r>
        <w:t xml:space="preserve"> vil det bli tatt utgangspunkt i de samme kriterier. Forholdene ved de to sentrene er allikevel så forskjellige at det er hensiktsmessig å behandle dem hver for seg.</w:t>
      </w:r>
    </w:p>
    <w:p w14:paraId="26751412" w14:textId="54F874C9" w:rsidR="00A5579C" w:rsidRDefault="00A5579C" w:rsidP="00A5579C">
      <w:pPr>
        <w:pStyle w:val="Heading2"/>
      </w:pPr>
      <w:r>
        <w:t>ARENA</w:t>
      </w:r>
    </w:p>
    <w:p w14:paraId="5AA530F0" w14:textId="60AEE406" w:rsidR="00B87D69" w:rsidRPr="00B87D69" w:rsidRDefault="009B0415" w:rsidP="00B87D69">
      <w:r>
        <w:t xml:space="preserve">Hvis ARENA skal legges </w:t>
      </w:r>
      <w:r w:rsidR="006433B0">
        <w:t xml:space="preserve">inn under </w:t>
      </w:r>
      <w:r>
        <w:t xml:space="preserve">et institutt, er det kun ett alternativ – Institutt for statsvitenskap. Virksomheten ved ARENA har riktignok tilknytningspunkter til flere fag – </w:t>
      </w:r>
      <w:r w:rsidR="00F80A4F">
        <w:t>blant annet jus,</w:t>
      </w:r>
      <w:r>
        <w:t xml:space="preserve"> sosiologi og </w:t>
      </w:r>
      <w:r w:rsidR="00F80A4F">
        <w:t>filosofi</w:t>
      </w:r>
      <w:r>
        <w:t xml:space="preserve"> </w:t>
      </w:r>
      <w:r w:rsidR="006433B0">
        <w:t>– men den faller i det alt vesentlige innenfor statsvitenskap. Oppmerksomheten konsentreres derfor om dette alternativet.</w:t>
      </w:r>
    </w:p>
    <w:p w14:paraId="2156DE56" w14:textId="085F11EF" w:rsidR="00B87D69" w:rsidRDefault="00B87D69" w:rsidP="00B87D69">
      <w:pPr>
        <w:pStyle w:val="Heading3"/>
      </w:pPr>
      <w:r>
        <w:t>Faglige prioriteringer</w:t>
      </w:r>
    </w:p>
    <w:p w14:paraId="423FC59B" w14:textId="22D218F0" w:rsidR="006433B0" w:rsidRDefault="006433B0" w:rsidP="006433B0">
      <w:r>
        <w:t>Det er i</w:t>
      </w:r>
      <w:r w:rsidR="00991761">
        <w:t xml:space="preserve"> </w:t>
      </w:r>
      <w:r>
        <w:t xml:space="preserve">dag relativt liten interaksjon mellom ARENA og Institutt for statsvitenskap. </w:t>
      </w:r>
      <w:r w:rsidR="005172DA">
        <w:t xml:space="preserve">Enkelte ansatte ved instituttet har hatt delte stillinger, men en viss andel ved ARENA, og det foregår noe prosjektsamarbeid, men ellers er det </w:t>
      </w:r>
      <w:r w:rsidR="00236B41">
        <w:t xml:space="preserve">relativt </w:t>
      </w:r>
      <w:r w:rsidR="005172DA">
        <w:t>liten kontakt. Spesielt er det ingen direkte koordinering av faglige aktiviteter mellom de to enhetene.</w:t>
      </w:r>
    </w:p>
    <w:p w14:paraId="59B2F609" w14:textId="07006412" w:rsidR="00C93B9F" w:rsidRDefault="00A53422" w:rsidP="00A53422">
      <w:r>
        <w:t xml:space="preserve">Institutt for statsvitenskap anfører i sin høringsuttalelse at det ikke er noe problem at det ikke foregår en samlet avveining av og dimensjonering av den statsvitenskapelige virksomhet ved fakultetet. </w:t>
      </w:r>
      <w:r w:rsidR="00C93B9F">
        <w:t>Det er vanskelig å følge instituttet her. Det faktum at faglig aktivitet er spredt utover på</w:t>
      </w:r>
      <w:r w:rsidR="00E57F7C">
        <w:t xml:space="preserve"> flere enheter,</w:t>
      </w:r>
      <w:r w:rsidR="00C93B9F">
        <w:t xml:space="preserve"> betyr ikke at </w:t>
      </w:r>
      <w:r w:rsidR="00E57F7C">
        <w:t>det</w:t>
      </w:r>
      <w:r w:rsidR="00C93B9F">
        <w:t xml:space="preserve"> ikke </w:t>
      </w:r>
      <w:r w:rsidR="00E57F7C">
        <w:t>er ønskelig med</w:t>
      </w:r>
      <w:r w:rsidR="00C93B9F">
        <w:t xml:space="preserve"> overordnede prioriteringer.</w:t>
      </w:r>
      <w:r w:rsidR="00E57F7C">
        <w:t xml:space="preserve"> Hensikten med å etablere egne enheter</w:t>
      </w:r>
      <w:r w:rsidR="00236B41">
        <w:t>,</w:t>
      </w:r>
      <w:r w:rsidR="00E57F7C">
        <w:t xml:space="preserve"> kan heller ikke være å unndra seg slike prioriteringer; i ethvert faglig miljø vil det nok være enkelte deler som godt kunne tenke seg å utgjøre egne enheter, dersom dette innebar at man unngikk å </w:t>
      </w:r>
      <w:r w:rsidR="00934171">
        <w:t xml:space="preserve">bli </w:t>
      </w:r>
      <w:r w:rsidR="00E57F7C">
        <w:t>omfatte</w:t>
      </w:r>
      <w:r w:rsidR="00934171">
        <w:t>t</w:t>
      </w:r>
      <w:r w:rsidR="00E57F7C">
        <w:t xml:space="preserve"> av prioriteringer på tvers av fagmiljøet.</w:t>
      </w:r>
      <w:r>
        <w:t xml:space="preserve"> Med begrensede ressurser må det være et mål å sørge for at man får mest mulig utav dem samlet sett.</w:t>
      </w:r>
      <w:r w:rsidR="00B155D8">
        <w:t xml:space="preserve"> </w:t>
      </w:r>
    </w:p>
    <w:p w14:paraId="1DE6DE0D" w14:textId="46E624CD" w:rsidR="004A6BEA" w:rsidRDefault="00E57F7C" w:rsidP="00E57F7C">
      <w:pPr>
        <w:pStyle w:val="BodyText"/>
      </w:pPr>
      <w:r>
        <w:t>Institutt</w:t>
      </w:r>
      <w:r w:rsidR="004A6BEA">
        <w:t>et anser</w:t>
      </w:r>
      <w:r w:rsidR="00A53422">
        <w:t xml:space="preserve"> at den </w:t>
      </w:r>
      <w:r w:rsidR="00661AC5">
        <w:t xml:space="preserve">samlede </w:t>
      </w:r>
      <w:r w:rsidR="00A53422">
        <w:t xml:space="preserve">faglige prioriteringen </w:t>
      </w:r>
      <w:r w:rsidR="004A6BEA">
        <w:t xml:space="preserve">først </w:t>
      </w:r>
      <w:r w:rsidR="00A53422">
        <w:t xml:space="preserve">blir et problem dersom den skal skje på instituttnivå, fordi </w:t>
      </w:r>
      <w:r w:rsidR="00661AC5">
        <w:t>ARENA vil</w:t>
      </w:r>
      <w:r w:rsidR="00A53422">
        <w:t xml:space="preserve"> forrykke det faglige tyngdepunktet på instituttet. </w:t>
      </w:r>
      <w:r w:rsidR="004A6BEA">
        <w:t xml:space="preserve">At instituttet ikke selv ville tatt initiativ til å styrke europaforskningen, betyr ikke at den ikke kan gi et positivt bidrag til instituttet når det først eksisterer; ARENA </w:t>
      </w:r>
      <w:r w:rsidR="003A4673">
        <w:t xml:space="preserve">ville </w:t>
      </w:r>
      <w:r w:rsidR="004A6BEA">
        <w:t>komme som tillegg, ikke som et alternativ, til den eksisterende virksomheten.</w:t>
      </w:r>
    </w:p>
    <w:p w14:paraId="53CBA105" w14:textId="4C4A0083" w:rsidR="0062632B" w:rsidRDefault="00A53422" w:rsidP="00E57F7C">
      <w:pPr>
        <w:pStyle w:val="BodyText"/>
      </w:pPr>
      <w:r>
        <w:t>Instituttet k</w:t>
      </w:r>
      <w:r w:rsidR="003A4673">
        <w:t>unne for eksempel valgt</w:t>
      </w:r>
      <w:r>
        <w:t xml:space="preserve"> å la ARENA drive videre som i</w:t>
      </w:r>
      <w:r w:rsidR="00991761">
        <w:t xml:space="preserve"> </w:t>
      </w:r>
      <w:r>
        <w:t>dag, uten å la d</w:t>
      </w:r>
      <w:r w:rsidR="00F8647F">
        <w:t>et</w:t>
      </w:r>
      <w:r>
        <w:t xml:space="preserve"> påvirke virksomheten ved instituttet forøvrig; andre institutter huser også </w:t>
      </w:r>
      <w:r w:rsidR="00F8647F">
        <w:t xml:space="preserve">spesialiserte </w:t>
      </w:r>
      <w:r>
        <w:t>sentre av betydelig størrelse</w:t>
      </w:r>
      <w:r w:rsidR="00661AC5">
        <w:t>.</w:t>
      </w:r>
      <w:r w:rsidR="004A6BEA">
        <w:t xml:space="preserve"> </w:t>
      </w:r>
      <w:r w:rsidR="00934171">
        <w:t>I</w:t>
      </w:r>
      <w:r w:rsidR="004A6BEA">
        <w:t>nstituttet antyder at det istedenfor vil ønske å foreta en kraftig neddimensjonering av europeforskningen dersom ARENA legges til instituttet.</w:t>
      </w:r>
    </w:p>
    <w:p w14:paraId="75378EBC" w14:textId="0E27FFED" w:rsidR="005B0488" w:rsidRDefault="0062632B" w:rsidP="00E57F7C">
      <w:pPr>
        <w:pStyle w:val="BodyText"/>
      </w:pPr>
      <w:r>
        <w:t>Det er tankevekkende at dersom det statsvitenskapelige miljøet selv skulle prioritere, ville europaforskningen få mindre plas</w:t>
      </w:r>
      <w:r w:rsidR="00B155D8">
        <w:t>s</w:t>
      </w:r>
      <w:r w:rsidR="00F32660">
        <w:t>; spørsmålet blir</w:t>
      </w:r>
      <w:r w:rsidR="00236B41">
        <w:t xml:space="preserve"> derfor</w:t>
      </w:r>
      <w:r w:rsidR="00F32660">
        <w:t xml:space="preserve"> – som uttrykt i ARENAS høringsuttalelse – om dette fagfeltet bør beskyttes gjennom en særskilt organisatorisk struktur</w:t>
      </w:r>
      <w:r w:rsidR="00B155D8">
        <w:t xml:space="preserve">. Det er imidlertid </w:t>
      </w:r>
      <w:r w:rsidR="00B155D8">
        <w:lastRenderedPageBreak/>
        <w:t>forskjell på å bygge opp noe nytt og bygge ned noe eksisterende</w:t>
      </w:r>
      <w:r w:rsidR="00934171">
        <w:t>, og</w:t>
      </w:r>
      <w:r w:rsidR="00B30C87">
        <w:t xml:space="preserve"> dessuten</w:t>
      </w:r>
      <w:r w:rsidR="00934171">
        <w:t>, som instituttet påpeker, fungerer ARENA godt</w:t>
      </w:r>
      <w:r w:rsidR="00B155D8">
        <w:t xml:space="preserve">. Selv om man over tid skulle ønske å nedskalere virksomheten, må det skje på en slik måte at det ikke ødelegger for det som fungerer godt, og selvsagt i henhold til gjeldende regler og avtaler. Som </w:t>
      </w:r>
      <w:r w:rsidR="0041138F">
        <w:t xml:space="preserve">begge enhetene </w:t>
      </w:r>
      <w:r w:rsidR="00B30C87">
        <w:t>understreker</w:t>
      </w:r>
      <w:r w:rsidR="00B155D8">
        <w:t>, må det utredes nærmere hvorvidt og eventuelt hvordan en slik tilpasning bør skje.</w:t>
      </w:r>
    </w:p>
    <w:p w14:paraId="2CDA147B" w14:textId="257FF297" w:rsidR="00210B5F" w:rsidRDefault="00210B5F" w:rsidP="00E57F7C">
      <w:pPr>
        <w:pStyle w:val="BodyText"/>
      </w:pPr>
      <w:r>
        <w:t>Gitt instituttets høringsuttalelse, er det ikke vanskelig å forstå at ARENA mener at senteret isolert sett er best tjent med å stå alene. ARENA begrunnet blant annet sin forskningsmessige suksess med at senteret har vært frittstående</w:t>
      </w:r>
      <w:r w:rsidR="00D624B5">
        <w:t xml:space="preserve">, men </w:t>
      </w:r>
      <w:r>
        <w:t xml:space="preserve">mye av den fremste forskning ved fakultetet foregår i sentre som er integrert </w:t>
      </w:r>
      <w:r w:rsidR="00F32660">
        <w:t>i</w:t>
      </w:r>
      <w:r>
        <w:t xml:space="preserve"> institutter, som for eksempel ESOP, LCBS og RITMO</w:t>
      </w:r>
      <w:r w:rsidR="00D624B5">
        <w:t>; d</w:t>
      </w:r>
      <w:r w:rsidR="00991761">
        <w:t xml:space="preserve">et </w:t>
      </w:r>
      <w:r w:rsidR="00D624B5">
        <w:t>er altså i prinsippet ingen motsetning her.</w:t>
      </w:r>
    </w:p>
    <w:p w14:paraId="40B40389" w14:textId="5F6CC063" w:rsidR="00B87D69" w:rsidRDefault="00B87D69" w:rsidP="00B87D69">
      <w:pPr>
        <w:pStyle w:val="Heading3"/>
      </w:pPr>
      <w:r>
        <w:t>Forskning og undervisning</w:t>
      </w:r>
    </w:p>
    <w:p w14:paraId="6A1D7319" w14:textId="2E287742" w:rsidR="00934171" w:rsidRDefault="00B30C87" w:rsidP="00934171">
      <w:r>
        <w:t>Mens Institutt for statsvitenskap har et fullverdig undervisningsprogram på alle nivåer, har ARENA ikke undervisningstilbud utover veiledning på master- og doktorgradsnivå.</w:t>
      </w:r>
    </w:p>
    <w:p w14:paraId="124EC6D1" w14:textId="3BAB9178" w:rsidR="00CF0A69" w:rsidRPr="00DD3378" w:rsidRDefault="00606802" w:rsidP="00CF0A69">
      <w:pPr>
        <w:pStyle w:val="BodyText"/>
        <w:rPr>
          <w:rFonts w:ascii="Times New Roman" w:hAnsi="Times New Roman"/>
          <w:sz w:val="24"/>
          <w:szCs w:val="24"/>
        </w:rPr>
      </w:pPr>
      <w:r>
        <w:t>Institutt for statsvitenskap skriver i sin høringsuttalelse</w:t>
      </w:r>
      <w:r w:rsidR="00236B41">
        <w:t xml:space="preserve"> at det ikke er noe problem at ARENAs ansatte primært ivaretar forskningsoppgaver, og at instituttet ikke har kapasitetsproblemer innenfor temaet europeisering.</w:t>
      </w:r>
      <w:r w:rsidR="00DD3378">
        <w:rPr>
          <w:rFonts w:ascii="Times New Roman" w:hAnsi="Times New Roman"/>
          <w:sz w:val="24"/>
          <w:szCs w:val="24"/>
        </w:rPr>
        <w:t xml:space="preserve"> </w:t>
      </w:r>
      <w:r w:rsidR="00B30C87" w:rsidRPr="00CF0A69">
        <w:t xml:space="preserve">Poenget er vel ikke at man kan dekke </w:t>
      </w:r>
      <w:r w:rsidR="00CF0A69">
        <w:t xml:space="preserve">eksisterende </w:t>
      </w:r>
      <w:r w:rsidR="00B30C87" w:rsidRPr="00CF0A69">
        <w:t>undervisningsbehov, men at det ligger en kompetanse og potensiell ressurs ved ARENA som</w:t>
      </w:r>
      <w:r w:rsidR="00CF0A69">
        <w:t xml:space="preserve"> </w:t>
      </w:r>
      <w:r w:rsidR="00B30C87" w:rsidRPr="00CF0A69">
        <w:t>i</w:t>
      </w:r>
      <w:r w:rsidR="00991761">
        <w:t xml:space="preserve"> </w:t>
      </w:r>
      <w:r w:rsidR="00B30C87" w:rsidRPr="00CF0A69">
        <w:t>dag i liten grad utnyttes til undervisningsformål</w:t>
      </w:r>
      <w:r w:rsidR="00CF0A69">
        <w:t xml:space="preserve">. </w:t>
      </w:r>
      <w:r w:rsidR="0041138F">
        <w:t xml:space="preserve">ARENA påpeker i sin høringsuttalelse at bachelorprogrammet i Europa-studier i utgangspunktet skulle forvaltes i et samarbeid mellom de to enhetene, men at det ikke skjedde, og at programmet ble nedlagt. </w:t>
      </w:r>
      <w:r w:rsidR="00CF0A69">
        <w:t>ARENA har søkt fakultetet om å etablere et masterprogram i Europa-studier, men det virker lite hensiktsmessig å bygge opp parallelle undervisningstilbud; et slikt tilbud måtte utformes slik at det inngår som en helhetlig del av det samlede undervisningstilbudet i statsvitenskap.</w:t>
      </w:r>
    </w:p>
    <w:p w14:paraId="56B47690" w14:textId="75812697" w:rsidR="00CF0A69" w:rsidRDefault="00CF0A69" w:rsidP="00CF0A69">
      <w:pPr>
        <w:pStyle w:val="BodyText"/>
      </w:pPr>
      <w:r>
        <w:t xml:space="preserve">Det er riktig at stillingene som forsker ikke </w:t>
      </w:r>
      <w:r w:rsidR="002E3A65">
        <w:t>innebærer</w:t>
      </w:r>
      <w:r>
        <w:t xml:space="preserve"> undervisningsplikt, men det forhindrer ikke at ansatte ved ARENA kan bidra til undervisningen. Forskere kan påta seg undervisningsoppgaver etter avtale, og både stipendiater og postdoktorer kan ha ordinær undervisningsplikt. Ved fremtidige ansettelser kan man utlyse kombinerte stillinger. Det er også mulig å omgjøre forskerstillinger til ordinære stillinger.</w:t>
      </w:r>
    </w:p>
    <w:p w14:paraId="742194AD" w14:textId="76B252D8" w:rsidR="00B87D69" w:rsidRDefault="00B87D69" w:rsidP="00B87D69">
      <w:pPr>
        <w:pStyle w:val="Heading3"/>
      </w:pPr>
      <w:r>
        <w:t>Administrasjon</w:t>
      </w:r>
    </w:p>
    <w:p w14:paraId="322124ED" w14:textId="3A34F674" w:rsidR="002E3A65" w:rsidRDefault="002E3A65" w:rsidP="002E3A65">
      <w:pPr>
        <w:pStyle w:val="BodyText"/>
      </w:pPr>
      <w:r>
        <w:t xml:space="preserve">Administrasjonene ved ARENA og Institutt for statsvitenskap er </w:t>
      </w:r>
      <w:r w:rsidR="00DD3378">
        <w:t>delvis</w:t>
      </w:r>
      <w:r>
        <w:t xml:space="preserve"> overlappende</w:t>
      </w:r>
      <w:r w:rsidR="00E91AD6">
        <w:t xml:space="preserve">, men </w:t>
      </w:r>
      <w:r w:rsidR="00DD3378">
        <w:t>også</w:t>
      </w:r>
      <w:r>
        <w:t xml:space="preserve"> komplementære. Administrasjon ved ARENA er utel</w:t>
      </w:r>
      <w:r w:rsidR="00991761">
        <w:t>ukkende innrettet mot forskning</w:t>
      </w:r>
      <w:r>
        <w:t xml:space="preserve"> (inkl. driften av doktorgradsnettverket PLATO), mens administrasjonen ved instituttet </w:t>
      </w:r>
      <w:r w:rsidR="00DD3378">
        <w:t>i stor grad e</w:t>
      </w:r>
      <w:r>
        <w:t>r innrettet mot studier.</w:t>
      </w:r>
    </w:p>
    <w:p w14:paraId="5D2CD1F6" w14:textId="22D1F641" w:rsidR="0041138F" w:rsidRDefault="0041138F" w:rsidP="0041138F">
      <w:pPr>
        <w:pStyle w:val="BodyText"/>
      </w:pPr>
      <w:r>
        <w:lastRenderedPageBreak/>
        <w:t xml:space="preserve">ARENA skriver i sitt høringssvar at de administrative gevinstene ved sammenslåing vil være minimale fordi administrasjonene ved de to enhetene har så ulike oppgaver. Det er imidlertid nettopp i komplementariteten at gevinstene </w:t>
      </w:r>
      <w:r w:rsidR="00DD3378">
        <w:t xml:space="preserve">kan </w:t>
      </w:r>
      <w:r>
        <w:t>ligge.</w:t>
      </w:r>
    </w:p>
    <w:p w14:paraId="21E49775" w14:textId="004C988F" w:rsidR="006433B0" w:rsidRDefault="002E3A65" w:rsidP="00B06A98">
      <w:pPr>
        <w:pStyle w:val="BodyText"/>
      </w:pPr>
      <w:r>
        <w:t>Som nevnt ønsker ARENA å etablere et studietilbud, noe som ville kreve studieadministrasjon; det ville være mer effektivt om et slikt eventuelt tilbud ble administrert fra instituttet. På den annen side har ARENA bygget opp en svært kompetent forskningsadministrasjon, som instituttet vil kunne ha glede av, særlig for søknader om og drift av EU-prosjekter, der instituttet har begrenset erfaring.</w:t>
      </w:r>
      <w:r w:rsidR="0041138F">
        <w:t xml:space="preserve"> Det samme gjelder ARENAs </w:t>
      </w:r>
      <w:r w:rsidR="00DD3378">
        <w:t xml:space="preserve">kompetanse knyttet til </w:t>
      </w:r>
      <w:r w:rsidR="0041138F">
        <w:t>å håndtere en tverrfaglig og tverrinstitusjonell internasjonal forskerskole.</w:t>
      </w:r>
    </w:p>
    <w:p w14:paraId="769BD102" w14:textId="6938D082" w:rsidR="00B06A98" w:rsidRDefault="00B06A98" w:rsidP="00B06A98">
      <w:pPr>
        <w:pStyle w:val="BodyText"/>
      </w:pPr>
      <w:r>
        <w:t>Det synes derfor å ligge godt til</w:t>
      </w:r>
      <w:r w:rsidR="00991761">
        <w:t xml:space="preserve"> </w:t>
      </w:r>
      <w:r>
        <w:t>rette for synergier gjennom samordning av administrasjonen ved de to enhetene.</w:t>
      </w:r>
    </w:p>
    <w:p w14:paraId="7FF110EA" w14:textId="47F213B2" w:rsidR="00210B5F" w:rsidRPr="006433B0" w:rsidRDefault="00210B5F" w:rsidP="00B06A98">
      <w:pPr>
        <w:pStyle w:val="BodyText"/>
      </w:pPr>
      <w:r>
        <w:t>Når det gjelder ARENAs bekymring for at en omorganisering at forskningsprosjektene ikke skal kunne drives med administrative støttefunksjoner som i</w:t>
      </w:r>
      <w:r w:rsidR="00991761">
        <w:t xml:space="preserve"> </w:t>
      </w:r>
      <w:r>
        <w:t>dag, er det vanskelig å se hvorfor det ikke skulle være mulig; dette er vanlig praksis ved mange enheter.</w:t>
      </w:r>
    </w:p>
    <w:p w14:paraId="5EDBB083" w14:textId="4A48B54D" w:rsidR="00B87D69" w:rsidRDefault="00B87D69" w:rsidP="00B87D69">
      <w:pPr>
        <w:pStyle w:val="Heading3"/>
      </w:pPr>
      <w:r>
        <w:t>Økonomi</w:t>
      </w:r>
    </w:p>
    <w:p w14:paraId="62603931" w14:textId="66CBAFF8" w:rsidR="00B06A98" w:rsidRDefault="00B06A98" w:rsidP="00B06A98">
      <w:pPr>
        <w:pStyle w:val="BodyText"/>
      </w:pPr>
      <w:r>
        <w:t>Institutt for statsvitenskap har en god, om enn stram økonomi. ARENA har hatt økonomiske vanskeligheter tidligere, noe som vises i et betydelig akkumulert underskudd, men har i de senere år hatt god tilgang på prosjekter og går i langtidsbudsjettperioden i balanse</w:t>
      </w:r>
      <w:r w:rsidR="00DD3378">
        <w:t xml:space="preserve"> (dog uten at det akkumulerte underskuddet fjernes)</w:t>
      </w:r>
      <w:r>
        <w:t>. Som en liten enhet med beskjeden grunnbevilgning er ARENA sårbar for svingninger i inntektene.</w:t>
      </w:r>
    </w:p>
    <w:p w14:paraId="6A9AD53E" w14:textId="33343E84" w:rsidR="00B06A98" w:rsidRDefault="00B06A98" w:rsidP="00B06A98">
      <w:pPr>
        <w:pStyle w:val="BodyText"/>
      </w:pPr>
      <w:r>
        <w:t xml:space="preserve">Institutt for statsvitenskap skriver i sin høringsuttalelse at det </w:t>
      </w:r>
      <w:r w:rsidR="00D430A1">
        <w:t>ikke ønsker å bruke instituttets bevilgning til å finansiere forskning ved ARENA, og at det vil være uakseptabelt at instituttet skal gjøres ansvarlig for ARENAs akkumulerte underskudd.</w:t>
      </w:r>
    </w:p>
    <w:p w14:paraId="764F277D" w14:textId="10D31627" w:rsidR="00D430A1" w:rsidRDefault="00D430A1" w:rsidP="00B06A98">
      <w:pPr>
        <w:pStyle w:val="BodyText"/>
      </w:pPr>
      <w:r>
        <w:t xml:space="preserve">Det </w:t>
      </w:r>
      <w:r w:rsidR="005B0488">
        <w:t>er</w:t>
      </w:r>
      <w:r>
        <w:t xml:space="preserve"> en forutsetning at de enkelte deler av virksomhetene drives i balanse over tid, noe som krever god økonomisk styring. Det er lettere å håndtere svingninger i inntekter i en stor en</w:t>
      </w:r>
      <w:r w:rsidR="005B0488">
        <w:t>het</w:t>
      </w:r>
      <w:r>
        <w:t>, der svingningene vil utgjøre en mindre andel av totaløkonomien. Hvis ARENA legges inn under instituttet, må det være en forutsetning at det er gjort tiltak for å bringe ARENAs økonomi i balanse (det</w:t>
      </w:r>
      <w:r w:rsidR="00DD3378">
        <w:t>te</w:t>
      </w:r>
      <w:r>
        <w:t xml:space="preserve"> vil formodentlig være nødvendig uansett senterets organisatoriske tilknytning).</w:t>
      </w:r>
    </w:p>
    <w:p w14:paraId="19A17980" w14:textId="49E4E5C8" w:rsidR="005B0488" w:rsidRDefault="005B0488" w:rsidP="005B0488">
      <w:pPr>
        <w:pStyle w:val="Heading3"/>
      </w:pPr>
      <w:r>
        <w:t>Annet</w:t>
      </w:r>
    </w:p>
    <w:p w14:paraId="6D50019F" w14:textId="422D4537" w:rsidR="005B0488" w:rsidRDefault="005B0488" w:rsidP="005B0488">
      <w:r>
        <w:t xml:space="preserve">Institutt for statsvitenskap avslutter sin høringsuttalelse med å påpeke det instituttet oppfatter som problemene med ARENA, herunder at senteret er uten sluttdato, at det har opparbeidet seg et akkumulert underskudd, og at det fremstår som svakt integrert i fakultetets organisasjon og </w:t>
      </w:r>
      <w:r>
        <w:lastRenderedPageBreak/>
        <w:t>administrative rutiner. Instituttet anser at disse problemene skyldes svikt fra fakultetets styre og ledelse.</w:t>
      </w:r>
    </w:p>
    <w:p w14:paraId="5DC52D17" w14:textId="0F83C9BD" w:rsidR="00263B4A" w:rsidRPr="005B0488" w:rsidRDefault="00263B4A" w:rsidP="005B0488">
      <w:r>
        <w:t>Uten å ta stilling til kritikken mot tidligere og nåværende styre og ledelse, påpeker instituttet e</w:t>
      </w:r>
      <w:r w:rsidR="003A4673">
        <w:t>n</w:t>
      </w:r>
      <w:r>
        <w:t xml:space="preserve"> re</w:t>
      </w:r>
      <w:r w:rsidR="003A4673">
        <w:t>alitet</w:t>
      </w:r>
      <w:r>
        <w:t xml:space="preserve">; fakultetet har tradisjon for en desentralisert styringsstruktur, og det er liten aksept for </w:t>
      </w:r>
      <w:r w:rsidR="003A4673">
        <w:t>handling</w:t>
      </w:r>
      <w:r>
        <w:t xml:space="preserve"> fra overordnet nivå. Det er i seg selv et argument for at fakultetet er </w:t>
      </w:r>
      <w:r w:rsidR="00F80A4F">
        <w:t>organisert i enheter som har tilstrekkelig størrelse og robusthet til å styre seg selv.</w:t>
      </w:r>
    </w:p>
    <w:p w14:paraId="471C7B30" w14:textId="78749345" w:rsidR="00A5579C" w:rsidRDefault="00D430A1" w:rsidP="00D430A1">
      <w:pPr>
        <w:pStyle w:val="Heading2"/>
      </w:pPr>
      <w:r>
        <w:t>TIK</w:t>
      </w:r>
      <w:bookmarkStart w:id="5" w:name="_GoBack"/>
      <w:bookmarkEnd w:id="5"/>
    </w:p>
    <w:p w14:paraId="2B42C3D1" w14:textId="1E443AF8" w:rsidR="00223A9B" w:rsidRPr="00223A9B" w:rsidRDefault="00223A9B" w:rsidP="00223A9B">
      <w:r>
        <w:t xml:space="preserve">TIK har </w:t>
      </w:r>
      <w:r w:rsidR="00D87184">
        <w:t xml:space="preserve">faglige kontaktpunkter til flere av fakultetets institutter, og det er </w:t>
      </w:r>
      <w:r w:rsidR="00DA31F4">
        <w:t>slik sett</w:t>
      </w:r>
      <w:r w:rsidR="00D87184">
        <w:t xml:space="preserve"> ikke åpenbart hvilket institutt det eventuelt burde legges innunder. I høringsnotatet ble det pekt på Sosialantropologisk institutt, og det er dette enhetene har forholdt seg til i høringen. Selv</w:t>
      </w:r>
      <w:r w:rsidR="00524072">
        <w:t xml:space="preserve"> </w:t>
      </w:r>
      <w:r w:rsidR="00D87184">
        <w:t>om det kan tenkes andre muligheter, konsentreres oppmerksomheten også her om dette alternativet.</w:t>
      </w:r>
      <w:r w:rsidR="0069261F">
        <w:t xml:space="preserve"> Forøvrig vil nok mange av argumentene være tilsvarende om man tok utgangspunkt i et annet institutt.</w:t>
      </w:r>
    </w:p>
    <w:p w14:paraId="0A93A92F" w14:textId="31B9C471" w:rsidR="00D430A1" w:rsidRDefault="00223A9B" w:rsidP="00223A9B">
      <w:pPr>
        <w:pStyle w:val="Heading3"/>
      </w:pPr>
      <w:r>
        <w:t>Faglige prioriteringer</w:t>
      </w:r>
    </w:p>
    <w:p w14:paraId="3EB1FE9D" w14:textId="7C51DA3D" w:rsidR="00D87184" w:rsidRDefault="00DA31F4" w:rsidP="00D87184">
      <w:r>
        <w:t xml:space="preserve">Fordi den faglige overlappen mellom Sosialantropologisk institutt er begrenset, er det i utgangspunktet færre </w:t>
      </w:r>
      <w:r w:rsidR="004F328C">
        <w:t>muligheter for omprioriteringer så</w:t>
      </w:r>
      <w:r w:rsidR="00991761">
        <w:t xml:space="preserve"> </w:t>
      </w:r>
      <w:r w:rsidR="004F328C">
        <w:t>lenge man skal ivareta de to enhetenes respektive oppgaver. Det finnes imidlertid et potensial for å videreutvikle de samarbeidsmuligheter som</w:t>
      </w:r>
      <w:r w:rsidR="006A1AD2">
        <w:t xml:space="preserve"> allerede eksisterer</w:t>
      </w:r>
      <w:r w:rsidR="004F328C">
        <w:t>.</w:t>
      </w:r>
    </w:p>
    <w:p w14:paraId="6DE4FDA0" w14:textId="5CCFE283" w:rsidR="00F71CD8" w:rsidRDefault="004F328C" w:rsidP="004F328C">
      <w:pPr>
        <w:pStyle w:val="BodyText"/>
      </w:pPr>
      <w:r>
        <w:t xml:space="preserve">TIK </w:t>
      </w:r>
      <w:r w:rsidR="00524072">
        <w:t>skriver</w:t>
      </w:r>
      <w:r>
        <w:t xml:space="preserve"> i sin høringsuttalelse at det blir krevende for instituttstyret ved Sosialantropologisk institutt å</w:t>
      </w:r>
      <w:r w:rsidR="00F71CD8" w:rsidRPr="00364119">
        <w:t xml:space="preserve"> ivareta både nåværende instituttinteresser og TIKs </w:t>
      </w:r>
      <w:r>
        <w:t xml:space="preserve">tverrfaglige </w:t>
      </w:r>
      <w:r w:rsidR="00F71CD8" w:rsidRPr="00364119">
        <w:t>interesser</w:t>
      </w:r>
      <w:r>
        <w:t>.</w:t>
      </w:r>
      <w:r w:rsidR="00F71CD8" w:rsidRPr="00364119">
        <w:t xml:space="preserve"> TIK representerer i seg selv to tverrfaglig orienterte fagfelt som det har tatt mange år å utvikle gode synergier og samforståelse mellom, og TIK frykter at fagdisiplinære prioriteringer vil sette TIK i skyggen når instituttstyret skal gjøre strategiske prioriteringer.</w:t>
      </w:r>
    </w:p>
    <w:p w14:paraId="3BD89F0E" w14:textId="4183B821" w:rsidR="004F328C" w:rsidRPr="00991761" w:rsidRDefault="004F328C" w:rsidP="004F328C">
      <w:pPr>
        <w:pStyle w:val="BodyText"/>
      </w:pPr>
      <w:r>
        <w:t xml:space="preserve">Sosialantropologisk institutt påpeker på sin side </w:t>
      </w:r>
      <w:r w:rsidRPr="00991761">
        <w:t>man</w:t>
      </w:r>
      <w:r w:rsidR="00D87184" w:rsidRPr="00991761">
        <w:t xml:space="preserve"> ikke bare vil måtte håndtere to ulike disipliner, men vil måtte innpasse en stab som består av faglig ansatte med svært variert bakgrunn</w:t>
      </w:r>
      <w:r w:rsidRPr="00991761">
        <w:t>; å</w:t>
      </w:r>
      <w:r w:rsidR="00D87184" w:rsidRPr="00991761">
        <w:t xml:space="preserve"> gjøre faglige prioriteringer innen TIK er vanskelig nok</w:t>
      </w:r>
      <w:r w:rsidRPr="00991761">
        <w:t>, men å</w:t>
      </w:r>
      <w:r w:rsidR="00D87184" w:rsidRPr="00991761">
        <w:t xml:space="preserve"> gjøre faglige prioriteringer som nødvendigvis må avveie </w:t>
      </w:r>
      <w:r w:rsidRPr="00991761">
        <w:t>instituttet</w:t>
      </w:r>
      <w:r w:rsidR="00D87184" w:rsidRPr="00991761">
        <w:t xml:space="preserve">s ansvar for ivaretagelse av sosialantropologi som disiplin, opp mot komplekse samfunnsmessige utfordringer knyttet til teknologi, innovasjon, vitenskapsstudier og økonomi </w:t>
      </w:r>
      <w:r w:rsidRPr="00991761">
        <w:t>anses som</w:t>
      </w:r>
      <w:r w:rsidR="00D87184" w:rsidRPr="00991761">
        <w:t xml:space="preserve"> en nærmest umulig oppgave.</w:t>
      </w:r>
    </w:p>
    <w:p w14:paraId="3485431D" w14:textId="2E31AD68" w:rsidR="00F71CD8" w:rsidRPr="00991761" w:rsidRDefault="004F328C" w:rsidP="004F328C">
      <w:pPr>
        <w:pStyle w:val="BodyText"/>
      </w:pPr>
      <w:r w:rsidRPr="00991761">
        <w:t xml:space="preserve">Disse utfordringene er åpenbart reelle, men de eksisterer </w:t>
      </w:r>
      <w:r w:rsidR="003213F8" w:rsidRPr="00991761">
        <w:t>enten</w:t>
      </w:r>
      <w:r w:rsidRPr="00991761">
        <w:t xml:space="preserve"> TIK ligger direkte under fakultetet eller </w:t>
      </w:r>
      <w:r w:rsidR="003213F8" w:rsidRPr="00991761">
        <w:t xml:space="preserve">et institutt; det er vanskelig å prioritere på tvers av fag og disipliner. Problemet </w:t>
      </w:r>
      <w:r w:rsidR="003D2EFF" w:rsidRPr="00991761">
        <w:t xml:space="preserve">er at </w:t>
      </w:r>
      <w:r w:rsidR="003213F8" w:rsidRPr="00991761">
        <w:t>det i praksis ikke blir noen reell faglig prioritering</w:t>
      </w:r>
      <w:r w:rsidR="00645643" w:rsidRPr="00991761">
        <w:t xml:space="preserve"> mellom enhetene</w:t>
      </w:r>
      <w:r w:rsidR="003213F8" w:rsidRPr="00991761">
        <w:t xml:space="preserve"> </w:t>
      </w:r>
      <w:r w:rsidR="003D2EFF" w:rsidRPr="00991761">
        <w:t>på fakultetet</w:t>
      </w:r>
      <w:r w:rsidR="003213F8" w:rsidRPr="00991761">
        <w:t xml:space="preserve">. </w:t>
      </w:r>
      <w:r w:rsidR="00B6623C" w:rsidRPr="00991761">
        <w:t>Innenfor</w:t>
      </w:r>
      <w:r w:rsidR="003213F8" w:rsidRPr="00991761">
        <w:t xml:space="preserve"> e</w:t>
      </w:r>
      <w:r w:rsidR="003D2EFF" w:rsidRPr="00991761">
        <w:t>n grunnenhet</w:t>
      </w:r>
      <w:r w:rsidR="003213F8" w:rsidRPr="00991761">
        <w:t xml:space="preserve"> </w:t>
      </w:r>
      <w:r w:rsidR="00B6623C" w:rsidRPr="00991761">
        <w:t>e</w:t>
      </w:r>
      <w:r w:rsidR="003213F8" w:rsidRPr="00991761">
        <w:t xml:space="preserve">r det lettere å foreta prioriteringer, </w:t>
      </w:r>
      <w:r w:rsidR="003D2EFF" w:rsidRPr="00991761">
        <w:t xml:space="preserve">selv om </w:t>
      </w:r>
      <w:r w:rsidR="003213F8" w:rsidRPr="00991761">
        <w:t xml:space="preserve">det kan være krevende å </w:t>
      </w:r>
      <w:r w:rsidR="00B6623C" w:rsidRPr="00991761">
        <w:t xml:space="preserve">sikre balanse mellom </w:t>
      </w:r>
      <w:r w:rsidR="003D2EFF" w:rsidRPr="00991761">
        <w:t xml:space="preserve">ulike fagområder, </w:t>
      </w:r>
      <w:r w:rsidR="003D2EFF" w:rsidRPr="00991761">
        <w:lastRenderedPageBreak/>
        <w:t>særlig hvis et område er dominerende. TIK er forøvrig selv et eksempel på at det går an å håndtere et fagmiljø med et bredt spekter av disiplinære forankringer.</w:t>
      </w:r>
    </w:p>
    <w:p w14:paraId="0162A637" w14:textId="399BD839" w:rsidR="0070036B" w:rsidRPr="00991761" w:rsidRDefault="003C6CA2" w:rsidP="004F328C">
      <w:pPr>
        <w:pStyle w:val="BodyText"/>
      </w:pPr>
      <w:r w:rsidRPr="00991761">
        <w:t>Sosialantropologisk institutt påpeker i sin høringsuttalelse at instituttet har lykkes godt med tverrfaglige prosjekter, og viser til en serie av slike prosjekter ved instituttet</w:t>
      </w:r>
      <w:r w:rsidR="00133343" w:rsidRPr="00991761">
        <w:t>, hvorav enkelte i samarbeid med forskere ved TIK</w:t>
      </w:r>
      <w:r w:rsidRPr="00991761">
        <w:t>. Denne erfaringen skulle tilsi at instituttet burde være godt forberedt på å håndtere et tverrfaglig senter som TIK</w:t>
      </w:r>
      <w:r w:rsidR="00344B5C" w:rsidRPr="00991761">
        <w:t>.</w:t>
      </w:r>
    </w:p>
    <w:p w14:paraId="668249B5" w14:textId="27E9781A" w:rsidR="00F71CD8" w:rsidRDefault="00F71CD8" w:rsidP="00D87184">
      <w:pPr>
        <w:pStyle w:val="Heading3"/>
      </w:pPr>
      <w:r w:rsidRPr="00F71CD8">
        <w:t>F</w:t>
      </w:r>
      <w:r w:rsidR="00D87184" w:rsidRPr="00F71CD8">
        <w:t>orskning og undervisning</w:t>
      </w:r>
    </w:p>
    <w:p w14:paraId="2D420156" w14:textId="576F0BC8" w:rsidR="00B6623C" w:rsidRPr="00991761" w:rsidRDefault="00B6623C" w:rsidP="00991761">
      <w:pPr>
        <w:pStyle w:val="BodyText"/>
      </w:pPr>
      <w:r w:rsidRPr="00991761">
        <w:t xml:space="preserve">Sosialantropologisk institutt har undervisning på alle nivåer, mens TIK har undervisning på </w:t>
      </w:r>
      <w:r w:rsidR="009A6B6B" w:rsidRPr="00991761">
        <w:t>master- og doktorgrads</w:t>
      </w:r>
      <w:r w:rsidRPr="00991761">
        <w:t>nivå.</w:t>
      </w:r>
    </w:p>
    <w:p w14:paraId="42B141EE" w14:textId="2685A230" w:rsidR="00B6623C" w:rsidRPr="00991761" w:rsidRDefault="00B6623C" w:rsidP="00991761">
      <w:pPr>
        <w:pStyle w:val="BodyText"/>
      </w:pPr>
      <w:r w:rsidRPr="00991761">
        <w:t>Sosialantropologisk institutt og TIK uttaler at det er relativt liten overlapp mellom undervisningstilbudene. Institutt</w:t>
      </w:r>
      <w:r w:rsidR="00C910DB" w:rsidRPr="00991761">
        <w:t>et</w:t>
      </w:r>
      <w:r w:rsidR="00334FA3">
        <w:t xml:space="preserve"> mener også at </w:t>
      </w:r>
      <w:r w:rsidR="00C910DB" w:rsidRPr="00991761">
        <w:t>TIKs kompetanse i liten grad kan utnyttes i den disiplinære undervisningen i sosialantropologi.</w:t>
      </w:r>
    </w:p>
    <w:p w14:paraId="76E42E24" w14:textId="69F9625E" w:rsidR="00E63467" w:rsidRPr="00991761" w:rsidRDefault="006A1AD2" w:rsidP="00991761">
      <w:pPr>
        <w:pStyle w:val="BodyText"/>
      </w:pPr>
      <w:r w:rsidRPr="00991761">
        <w:t>Spørsmålet</w:t>
      </w:r>
      <w:r w:rsidR="00C910DB" w:rsidRPr="00991761">
        <w:t xml:space="preserve"> i denne sammenheng </w:t>
      </w:r>
      <w:r w:rsidR="00E63467" w:rsidRPr="00991761">
        <w:t>bø</w:t>
      </w:r>
      <w:r w:rsidR="00C910DB" w:rsidRPr="00991761">
        <w:t xml:space="preserve">r ikke først og fremst </w:t>
      </w:r>
      <w:r w:rsidR="00E63467" w:rsidRPr="00991761">
        <w:t xml:space="preserve">være </w:t>
      </w:r>
      <w:r w:rsidR="00C910DB" w:rsidRPr="00991761">
        <w:t xml:space="preserve">om det er overlapp i eksisterende undervisningsporteføljer, men om det er rom for å utvikle tilbud der man spiller på den samlede kompetansen. TIK har uttrykt ønske om å etablere et studietilbud på bachelornivå, der det kunne </w:t>
      </w:r>
      <w:r w:rsidR="009A6B6B" w:rsidRPr="00991761">
        <w:t>foreligge</w:t>
      </w:r>
      <w:r w:rsidR="00C910DB" w:rsidRPr="00991761">
        <w:t xml:space="preserve"> en slik mulighet.</w:t>
      </w:r>
    </w:p>
    <w:p w14:paraId="116B4191" w14:textId="6BF5F9EA" w:rsidR="006A1AD2" w:rsidRPr="00991761" w:rsidRDefault="006A1AD2" w:rsidP="00991761">
      <w:pPr>
        <w:pStyle w:val="BodyText"/>
      </w:pPr>
      <w:r w:rsidRPr="00991761">
        <w:t>TIK – både i senterets og studentenes høringsuttalelse – uttrykker bekymring for det eksisterende undervisningstilbudet. Så</w:t>
      </w:r>
      <w:r w:rsidR="00334FA3">
        <w:t xml:space="preserve"> </w:t>
      </w:r>
      <w:r w:rsidRPr="00991761">
        <w:t xml:space="preserve">lenge dette tilbudet </w:t>
      </w:r>
      <w:r w:rsidR="006A4628" w:rsidRPr="00991761">
        <w:t>fortsetter å fungere godt, er det ingen grunn til at det skulle endres.</w:t>
      </w:r>
    </w:p>
    <w:p w14:paraId="3F330741" w14:textId="533535DD" w:rsidR="009A6B6B" w:rsidRDefault="00F71CD8" w:rsidP="009A6B6B">
      <w:pPr>
        <w:pStyle w:val="Heading3"/>
      </w:pPr>
      <w:r w:rsidRPr="00F71CD8">
        <w:t>A</w:t>
      </w:r>
      <w:r w:rsidR="009A6B6B" w:rsidRPr="00F71CD8">
        <w:t>dministrasjon</w:t>
      </w:r>
    </w:p>
    <w:p w14:paraId="40B83A40" w14:textId="6370881D" w:rsidR="009A6B6B" w:rsidRDefault="009A6B6B" w:rsidP="009A6B6B">
      <w:r>
        <w:t>Både Sosialantropologisk institutt og TIK er relativt små enheter og har tilsvarende små administrasjoner. Begge administrasjonene håndterer både forskning og undervisning.</w:t>
      </w:r>
    </w:p>
    <w:p w14:paraId="50EFF054" w14:textId="44B14A8B" w:rsidR="00E63467" w:rsidRDefault="00E63467" w:rsidP="009A6B6B">
      <w:r>
        <w:t>Sosialantropologisk institutt mener at stordriftsfordeler i administrasjonen langt på vei er tatt ut gjennom sentralisering av funksjoner, og at samdriftsfordelene er godt ivaretatt gjennom nettverksløsninger. Ikke desto mindre bør det ligge til</w:t>
      </w:r>
      <w:r w:rsidR="00334FA3">
        <w:t xml:space="preserve"> </w:t>
      </w:r>
      <w:r>
        <w:t xml:space="preserve">rette for gevinster ved å samordne de to administrasjonene, blant annet gjennom større </w:t>
      </w:r>
      <w:r w:rsidR="00AA3892">
        <w:t>spesialisering.</w:t>
      </w:r>
      <w:r w:rsidR="0069261F">
        <w:t xml:space="preserve"> TIK påpeker at det kan være behov for å utnytte kommunikasjons- og driftsressurser på en bedre måte, men viser til at da må også ressurser i fakultetsadministrasjonen inkluderes i vurderingen.</w:t>
      </w:r>
    </w:p>
    <w:p w14:paraId="748EDD25" w14:textId="77777777" w:rsidR="009A6B6B" w:rsidRDefault="009A6B6B" w:rsidP="009A6B6B">
      <w:pPr>
        <w:pStyle w:val="Heading3"/>
      </w:pPr>
      <w:r>
        <w:t>Økonomi</w:t>
      </w:r>
    </w:p>
    <w:p w14:paraId="3345AFDA" w14:textId="5C8AD928" w:rsidR="00AA3892" w:rsidRDefault="009A6B6B" w:rsidP="00AA3892">
      <w:pPr>
        <w:pStyle w:val="BodyText"/>
      </w:pPr>
      <w:r>
        <w:t xml:space="preserve">Både Sosialantropologisk institutt og TIK har for tiden god økonomi. Begge er imidlertid små og </w:t>
      </w:r>
      <w:r w:rsidR="000668C9">
        <w:t>sårbare for endringer i inntektene. Gevinsten ligger derfor først og fremst i at de samlet vil ha en mer robust økonomi.</w:t>
      </w:r>
    </w:p>
    <w:p w14:paraId="44BA6585" w14:textId="07FCF2B7" w:rsidR="00AA3892" w:rsidRDefault="00E63467" w:rsidP="00AA3892">
      <w:pPr>
        <w:pStyle w:val="BodyText"/>
      </w:pPr>
      <w:r>
        <w:lastRenderedPageBreak/>
        <w:t>Sosialantropologisk institutt påpeker at TIK har et betydelig innslag av ans</w:t>
      </w:r>
      <w:r w:rsidR="00E82B68">
        <w:t>a</w:t>
      </w:r>
      <w:r>
        <w:t>tte uten undervisningsoppgaver og som er eksponert for svingninger i ekstern finansiering, noe som kan gi utfordringer for ledelse og likebehandling. Dette er en utfordring enten TIK ligger direkte under fakultetet eller under et institutt, men er formodentlig lettere å håndtere i en større enn i en mindre enhet.</w:t>
      </w:r>
    </w:p>
    <w:p w14:paraId="51B26ADC" w14:textId="651C700B" w:rsidR="00AA3892" w:rsidRDefault="00AA3892" w:rsidP="009A6B6B">
      <w:pPr>
        <w:pStyle w:val="BodyText"/>
      </w:pPr>
      <w:r>
        <w:t>Sosialantropologisk institutt påpeker at både instituttet og TIK tiltrekker seg eksterne midler, men at konkurransedyktigheten kan svekkes hvis omorganiseringen medfører svekket omdømme. Det kan man naturligvis ikke utelukke, men risikoen synes ikke overhengende. Begge enhetene har en så god posisjon i sine respektive fagmiljøer at de vanskelig kan rokkes. Dessuten tildeles forskningsmidler først og fremst etter prosjektsøknadenes kvalitet, ikke etter omdømme.</w:t>
      </w:r>
    </w:p>
    <w:p w14:paraId="0F0352AE" w14:textId="151351FF" w:rsidR="00B30D53" w:rsidRDefault="00B30D53" w:rsidP="009A6B6B">
      <w:pPr>
        <w:pStyle w:val="BodyText"/>
      </w:pPr>
      <w:r>
        <w:t>TIK påpeker på sin side at senteret har en sterk stab med en tematisk bredde og samfunnsrelevans som gir positive økonomiske utsikter. Det er riktig, men prosjektfinansiert virksomhet er i sin natur usikker, og man skal ikke så veldig langt tilbake for å finne en periode der TIK var i en krevende økonomisk situasjon.</w:t>
      </w:r>
    </w:p>
    <w:p w14:paraId="3E81169A" w14:textId="5E752BBB" w:rsidR="003D2EFF" w:rsidRDefault="003D2EFF" w:rsidP="003D2EFF">
      <w:pPr>
        <w:pStyle w:val="Heading3"/>
      </w:pPr>
      <w:r>
        <w:t>Annet</w:t>
      </w:r>
    </w:p>
    <w:p w14:paraId="15385FA1" w14:textId="03B683D4" w:rsidR="00002EA4" w:rsidRDefault="003D2EFF" w:rsidP="009A6B6B">
      <w:pPr>
        <w:pStyle w:val="BodyText"/>
      </w:pPr>
      <w:r>
        <w:t xml:space="preserve">Sosialantropologisk institutt påpeker at en organisasjonsmessig endring kan medføre betydelig "støy". Det er en viktig påpekning, og gevinstene ved organisasjonsmessige endringer </w:t>
      </w:r>
      <w:r w:rsidR="00002EA4">
        <w:t>må</w:t>
      </w:r>
      <w:r>
        <w:t xml:space="preserve"> være større enn kostnadene. I dette tilfellet, der det dreier seg om å flytte det organisatoriske tilknytningspunktet, burde risikoen være mindre enn ved andre omorganiseringer. I utgangspunktet burde de to enhetene kunne drive videre som før, med gradvise tilpasninger over tid; det er ingen grunn til </w:t>
      </w:r>
      <w:r w:rsidR="00E63467">
        <w:t>en "overilt kortsiktig søken etter synergigevinster".</w:t>
      </w:r>
    </w:p>
    <w:p w14:paraId="78ADEEC2" w14:textId="5D206C45" w:rsidR="00F71CD8" w:rsidRDefault="00F71CD8" w:rsidP="00D624B5">
      <w:pPr>
        <w:pStyle w:val="Heading1"/>
      </w:pPr>
      <w:r w:rsidRPr="00F71CD8">
        <w:t>KONKLUSJON</w:t>
      </w:r>
    </w:p>
    <w:p w14:paraId="43AD89E1" w14:textId="39250483" w:rsidR="00F71CD8" w:rsidRPr="00F71CD8" w:rsidRDefault="00D624B5" w:rsidP="00F71CD8">
      <w:r>
        <w:t xml:space="preserve">Høringen har bidratt til å kaste lys over mange av de momenter som er relevante i en vurdering av den organisatoriske innplassering av ARENA og TIK. Som påpekt i flere av uttalelsene, er det behov for en nærmere konsekvensutredning av forslagene før man eventuelt kan </w:t>
      </w:r>
      <w:r w:rsidR="00DE2694">
        <w:t>gjennomføre</w:t>
      </w:r>
      <w:r>
        <w:t xml:space="preserve"> endringer. Det er også nødvendig med en nærmere presisering av eventuelle føringer</w:t>
      </w:r>
      <w:r w:rsidR="00C16A07">
        <w:t xml:space="preserve"> for endringene</w:t>
      </w:r>
      <w:r>
        <w:t>, slik at man sikrer ivaretagelse av fakultetets og universitetets overordnede målsetninger.</w:t>
      </w:r>
      <w:r w:rsidR="00C16A07">
        <w:t xml:space="preserve"> Ingen av høringsuttalelsene har pekt på </w:t>
      </w:r>
      <w:r w:rsidR="00F06CFB">
        <w:t xml:space="preserve">konkrete </w:t>
      </w:r>
      <w:r w:rsidR="00C16A07">
        <w:t>alternativer til de forslagene som ble presentert i høringsnotatet, men det kan være grunn til å vurdere nærmere om det finnes slike</w:t>
      </w:r>
      <w:r w:rsidR="00F06CFB">
        <w:t>, herunder andre tiltak som kan "styrke de prosessene som ligger bak ønsker om en omstrukturering av relasjonen mellom instituttene og sentrene ved fakultetet", for å låne en formulering fra Sosialantropologisk institutts høringsuttale</w:t>
      </w:r>
      <w:r w:rsidR="00DE2694">
        <w:t>l</w:t>
      </w:r>
      <w:r w:rsidR="00F06CFB">
        <w:t>se.</w:t>
      </w:r>
    </w:p>
    <w:p w14:paraId="738F4AE3" w14:textId="77777777" w:rsidR="00686ABD" w:rsidRPr="00CB78DD" w:rsidRDefault="00686ABD" w:rsidP="007C30C1">
      <w:pPr>
        <w:pStyle w:val="BodyText2"/>
        <w:spacing w:line="240" w:lineRule="auto"/>
        <w:rPr>
          <w:rFonts w:ascii="Times New Roman" w:hAnsi="Times New Roman"/>
          <w:b/>
          <w:i/>
          <w:szCs w:val="24"/>
          <w:lang w:val="nb-NO"/>
        </w:rPr>
      </w:pPr>
    </w:p>
    <w:p w14:paraId="5B38D19C" w14:textId="77777777" w:rsidR="003A445F" w:rsidRPr="00CB78DD" w:rsidRDefault="00ED469E" w:rsidP="007C30C1">
      <w:pPr>
        <w:pStyle w:val="BodyText2"/>
        <w:spacing w:line="240" w:lineRule="auto"/>
        <w:rPr>
          <w:rFonts w:ascii="Times New Roman" w:hAnsi="Times New Roman"/>
          <w:i/>
          <w:szCs w:val="24"/>
          <w:lang w:val="nb-NO"/>
        </w:rPr>
      </w:pPr>
      <w:r w:rsidRPr="00CB78DD">
        <w:rPr>
          <w:rFonts w:ascii="Times New Roman" w:hAnsi="Times New Roman"/>
          <w:i/>
          <w:szCs w:val="24"/>
          <w:lang w:val="nb-NO"/>
        </w:rPr>
        <w:lastRenderedPageBreak/>
        <w:t xml:space="preserve">Vedlegg: </w:t>
      </w:r>
      <w:r w:rsidR="00096609" w:rsidRPr="00CB78DD">
        <w:rPr>
          <w:rFonts w:ascii="Times New Roman" w:hAnsi="Times New Roman"/>
          <w:i/>
          <w:szCs w:val="24"/>
          <w:lang w:val="nb-NO"/>
        </w:rPr>
        <w:t>Enhetenes høringssvar</w:t>
      </w:r>
      <w:r w:rsidRPr="00CB78DD">
        <w:rPr>
          <w:rFonts w:ascii="Times New Roman" w:hAnsi="Times New Roman"/>
          <w:i/>
          <w:szCs w:val="24"/>
          <w:lang w:val="nb-NO"/>
        </w:rPr>
        <w:t>.</w:t>
      </w:r>
    </w:p>
    <w:p w14:paraId="2DCE4449" w14:textId="77777777" w:rsidR="00716E74" w:rsidRPr="00CB78DD" w:rsidRDefault="00716E74" w:rsidP="007C30C1">
      <w:pPr>
        <w:pStyle w:val="BodyText2"/>
        <w:spacing w:line="240" w:lineRule="auto"/>
        <w:rPr>
          <w:rFonts w:ascii="Times New Roman" w:hAnsi="Times New Roman"/>
          <w:b/>
          <w:i/>
          <w:szCs w:val="24"/>
          <w:lang w:val="nb-NO"/>
        </w:rPr>
      </w:pPr>
    </w:p>
    <w:sectPr w:rsidR="00716E74" w:rsidRPr="00CB78DD" w:rsidSect="003F47F0">
      <w:headerReference w:type="default" r:id="rId9"/>
      <w:footerReference w:type="default" r:id="rId10"/>
      <w:headerReference w:type="first" r:id="rId11"/>
      <w:footerReference w:type="first" r:id="rId12"/>
      <w:pgSz w:w="11906" w:h="16838" w:code="9"/>
      <w:pgMar w:top="567" w:right="851" w:bottom="567" w:left="851"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2D22D" w14:textId="77777777" w:rsidR="00991761" w:rsidRDefault="00991761" w:rsidP="006F2626">
      <w:pPr>
        <w:spacing w:after="0" w:line="240" w:lineRule="auto"/>
      </w:pPr>
      <w:r>
        <w:separator/>
      </w:r>
    </w:p>
  </w:endnote>
  <w:endnote w:type="continuationSeparator" w:id="0">
    <w:p w14:paraId="25364DDA" w14:textId="77777777" w:rsidR="00991761" w:rsidRDefault="00991761"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F02AB" w14:textId="77777777" w:rsidR="00991761" w:rsidRPr="004416D1" w:rsidRDefault="00991761"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991761" w:rsidRPr="00296BD0" w14:paraId="2C313BB5" w14:textId="77777777" w:rsidTr="00326DE7">
      <w:trPr>
        <w:trHeight w:hRule="exact" w:val="1219"/>
      </w:trPr>
      <w:tc>
        <w:tcPr>
          <w:tcW w:w="3614" w:type="dxa"/>
        </w:tcPr>
        <w:p w14:paraId="5FD16885" w14:textId="77777777" w:rsidR="00991761" w:rsidRPr="00296BD0" w:rsidRDefault="00991761" w:rsidP="004F44DB">
          <w:pPr>
            <w:pStyle w:val="Georgia9BoldBunntekst"/>
          </w:pPr>
          <w:bookmarkStart w:id="8" w:name="ADMBETEGNELSE_2R2"/>
          <w:r>
            <w:t>Det samfunnsvitenskapelige fakultet</w:t>
          </w:r>
          <w:bookmarkEnd w:id="8"/>
        </w:p>
        <w:p w14:paraId="7FA3958C" w14:textId="77777777" w:rsidR="00991761" w:rsidRPr="00296BD0" w:rsidRDefault="00991761" w:rsidP="00FB462F">
          <w:pPr>
            <w:pStyle w:val="Georigia9Bunntekst"/>
          </w:pPr>
          <w:r>
            <w:t>Kontor</w:t>
          </w:r>
          <w:r w:rsidRPr="00296BD0">
            <w:t xml:space="preserve">adr.: </w:t>
          </w:r>
          <w:bookmarkStart w:id="9" w:name="ADMBESØKSADRESSE"/>
          <w:r>
            <w:t>Eilert Sundts hus 3. et., Moltke Moes vei 31, 0851 Oslo</w:t>
          </w:r>
          <w:bookmarkEnd w:id="9"/>
        </w:p>
      </w:tc>
      <w:tc>
        <w:tcPr>
          <w:tcW w:w="3615" w:type="dxa"/>
          <w:tcMar>
            <w:left w:w="85" w:type="dxa"/>
          </w:tcMar>
        </w:tcPr>
        <w:p w14:paraId="41AD16E4" w14:textId="77777777" w:rsidR="00991761" w:rsidRPr="00296BD0" w:rsidRDefault="00991761" w:rsidP="00FB462F">
          <w:pPr>
            <w:pStyle w:val="Georigia9Bunntekst"/>
          </w:pPr>
          <w:r w:rsidRPr="00296BD0">
            <w:t xml:space="preserve">Telefon: </w:t>
          </w:r>
          <w:bookmarkStart w:id="10" w:name="ADMTELEFON"/>
          <w:r>
            <w:t>22 85 62 64</w:t>
          </w:r>
          <w:bookmarkEnd w:id="10"/>
        </w:p>
        <w:p w14:paraId="28540C8F" w14:textId="77777777" w:rsidR="00991761" w:rsidRPr="00296BD0" w:rsidRDefault="00991761" w:rsidP="00FB462F">
          <w:pPr>
            <w:pStyle w:val="Georigia9Bunntekst"/>
          </w:pPr>
          <w:r w:rsidRPr="00296BD0">
            <w:t xml:space="preserve">Telefaks: </w:t>
          </w:r>
          <w:bookmarkStart w:id="11" w:name="ADMTELEFAKS"/>
          <w:r>
            <w:t>22 85 48 25</w:t>
          </w:r>
          <w:bookmarkEnd w:id="11"/>
        </w:p>
        <w:p w14:paraId="3B729AB9" w14:textId="77777777" w:rsidR="00991761" w:rsidRPr="00296BD0" w:rsidRDefault="00991761" w:rsidP="00FB462F">
          <w:pPr>
            <w:pStyle w:val="Georigia9Bunntekst"/>
          </w:pPr>
          <w:bookmarkStart w:id="12" w:name="ADMEMAILADRESSE"/>
          <w:r>
            <w:t>postmottak@sv.uio.no</w:t>
          </w:r>
          <w:bookmarkEnd w:id="12"/>
        </w:p>
        <w:p w14:paraId="36A67DB4" w14:textId="77777777" w:rsidR="00991761" w:rsidRPr="00296BD0" w:rsidRDefault="00991761" w:rsidP="00FB462F">
          <w:pPr>
            <w:pStyle w:val="Georigia9Bunntekst"/>
          </w:pPr>
          <w:bookmarkStart w:id="13" w:name="ADMPOSTGIRO"/>
          <w:r>
            <w:t>www.sv.uio.no</w:t>
          </w:r>
          <w:bookmarkEnd w:id="13"/>
        </w:p>
      </w:tc>
    </w:tr>
  </w:tbl>
  <w:p w14:paraId="77CC5602" w14:textId="77777777" w:rsidR="00991761" w:rsidRPr="00296BD0" w:rsidRDefault="00991761" w:rsidP="00442F10">
    <w:pPr>
      <w:pStyle w:val="Footer"/>
      <w:ind w:left="2552"/>
    </w:pPr>
    <w:r>
      <w:rPr>
        <w:rFonts w:ascii="Georgia" w:hAnsi="Georgia"/>
        <w:b/>
        <w:noProof/>
        <w:sz w:val="18"/>
        <w:szCs w:val="18"/>
        <w:lang w:eastAsia="nb-NO"/>
      </w:rPr>
      <w:drawing>
        <wp:anchor distT="0" distB="0" distL="114300" distR="114300" simplePos="0" relativeHeight="251656704" behindDoc="1" locked="0" layoutInCell="1" allowOverlap="1" wp14:anchorId="06143A76" wp14:editId="51137025">
          <wp:simplePos x="0" y="0"/>
          <wp:positionH relativeFrom="page">
            <wp:posOffset>824865</wp:posOffset>
          </wp:positionH>
          <wp:positionV relativeFrom="page">
            <wp:posOffset>9530080</wp:posOffset>
          </wp:positionV>
          <wp:extent cx="762000" cy="762000"/>
          <wp:effectExtent l="0" t="0" r="0" b="0"/>
          <wp:wrapNone/>
          <wp:docPr id="5" name="Picture 6" descr="UnivOsloensis_frame.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83AE6" w14:textId="77777777" w:rsidR="00991761" w:rsidRDefault="00991761" w:rsidP="006F2626">
      <w:pPr>
        <w:spacing w:after="0" w:line="240" w:lineRule="auto"/>
      </w:pPr>
      <w:r>
        <w:separator/>
      </w:r>
    </w:p>
  </w:footnote>
  <w:footnote w:type="continuationSeparator" w:id="0">
    <w:p w14:paraId="4D9D987B" w14:textId="77777777" w:rsidR="00991761" w:rsidRDefault="00991761" w:rsidP="006F2626">
      <w:pPr>
        <w:spacing w:after="0" w:line="240" w:lineRule="auto"/>
      </w:pPr>
      <w:r>
        <w:continuationSeparator/>
      </w:r>
    </w:p>
  </w:footnote>
  <w:footnote w:id="1">
    <w:p w14:paraId="35E49FC5" w14:textId="29101327" w:rsidR="00991761" w:rsidRDefault="00991761">
      <w:pPr>
        <w:pStyle w:val="FootnoteText"/>
      </w:pPr>
      <w:r>
        <w:rPr>
          <w:rStyle w:val="FootnoteReference"/>
        </w:rPr>
        <w:footnoteRef/>
      </w:r>
      <w:r>
        <w:t xml:space="preserve"> Fakultetet har bare sammenlignbare tall tilbake til 2005.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045BC" w14:textId="0E94D61E" w:rsidR="00991761" w:rsidRPr="00AC4272" w:rsidRDefault="00991761"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14:anchorId="0242141A" wp14:editId="3C09EB02">
          <wp:simplePos x="0" y="0"/>
          <wp:positionH relativeFrom="page">
            <wp:posOffset>702945</wp:posOffset>
          </wp:positionH>
          <wp:positionV relativeFrom="page">
            <wp:posOffset>423545</wp:posOffset>
          </wp:positionV>
          <wp:extent cx="561975" cy="207645"/>
          <wp:effectExtent l="0" t="0" r="0" b="0"/>
          <wp:wrapNone/>
          <wp:docPr id="9" name="Picture 31" descr="UiO_20x10m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0B4EEC">
      <w:rPr>
        <w:rFonts w:ascii="Georgia" w:hAnsi="Georgia"/>
        <w:noProof/>
      </w:rPr>
      <w:t>12</w:t>
    </w:r>
    <w:r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791"/>
      <w:gridCol w:w="1099"/>
    </w:tblGrid>
    <w:tr w:rsidR="00991761" w:rsidRPr="00CB1F83" w14:paraId="02A20940" w14:textId="77777777" w:rsidTr="00C70BC3">
      <w:tc>
        <w:tcPr>
          <w:tcW w:w="7791" w:type="dxa"/>
        </w:tcPr>
        <w:p w14:paraId="1941A2CA" w14:textId="77777777" w:rsidR="00991761" w:rsidRPr="00A6739A" w:rsidRDefault="00991761" w:rsidP="00A6739A">
          <w:pPr>
            <w:pStyle w:val="Topptekstlinje1"/>
          </w:pPr>
          <w:bookmarkStart w:id="6" w:name="ADMBETEGNELSE_2R"/>
          <w:r>
            <w:t>Det samfunnsvitenskapelige fakultet</w:t>
          </w:r>
          <w:bookmarkEnd w:id="6"/>
          <w:r w:rsidRPr="00A6739A">
            <w:rPr>
              <w:noProof/>
              <w:lang w:eastAsia="nb-NO"/>
            </w:rPr>
            <w:drawing>
              <wp:anchor distT="0" distB="0" distL="114300" distR="114300" simplePos="0" relativeHeight="251659776" behindDoc="1" locked="1" layoutInCell="1" allowOverlap="1" wp14:anchorId="63898318" wp14:editId="2D77189F">
                <wp:simplePos x="0" y="0"/>
                <wp:positionH relativeFrom="page">
                  <wp:posOffset>-570230</wp:posOffset>
                </wp:positionH>
                <wp:positionV relativeFrom="page">
                  <wp:posOffset>13335</wp:posOffset>
                </wp:positionV>
                <wp:extent cx="561340" cy="182880"/>
                <wp:effectExtent l="0" t="0" r="0" b="0"/>
                <wp:wrapNone/>
                <wp:docPr id="8" name="Picture 1" descr="UiO_RED_frame.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14:paraId="060ED8DB" w14:textId="77777777" w:rsidR="00991761" w:rsidRPr="00A6739A" w:rsidRDefault="00991761" w:rsidP="00C70BC3">
          <w:pPr>
            <w:pStyle w:val="Topptekstlinje1"/>
            <w:jc w:val="right"/>
          </w:pPr>
          <w:r w:rsidRPr="00A6739A">
            <w:t>Notat</w:t>
          </w:r>
        </w:p>
      </w:tc>
    </w:tr>
    <w:tr w:rsidR="00991761" w14:paraId="2C604A1F" w14:textId="77777777" w:rsidTr="005F6C42">
      <w:tc>
        <w:tcPr>
          <w:tcW w:w="8890" w:type="dxa"/>
          <w:gridSpan w:val="2"/>
        </w:tcPr>
        <w:p w14:paraId="1D499EDD" w14:textId="77777777" w:rsidR="00991761" w:rsidRDefault="00991761" w:rsidP="00FB462F">
          <w:pPr>
            <w:pStyle w:val="Topptekstlinje2"/>
          </w:pPr>
          <w:bookmarkStart w:id="7" w:name="ADMBETEGNELSE_1R"/>
          <w:r>
            <w:t>Universitetet i Oslo</w:t>
          </w:r>
          <w:bookmarkEnd w:id="7"/>
        </w:p>
      </w:tc>
    </w:tr>
  </w:tbl>
  <w:p w14:paraId="05085CD5" w14:textId="77777777" w:rsidR="00991761" w:rsidRPr="00AA7420" w:rsidRDefault="00991761" w:rsidP="00442F10">
    <w:pPr>
      <w:pStyle w:val="Header"/>
      <w:ind w:left="964"/>
      <w:rPr>
        <w:rFonts w:ascii="Georgia" w:hAnsi="Georgia"/>
      </w:rPr>
    </w:pPr>
    <w:r>
      <w:rPr>
        <w:rFonts w:ascii="Georgia" w:hAnsi="Georgia"/>
        <w:noProof/>
        <w:lang w:eastAsia="nb-NO"/>
      </w:rPr>
      <w:drawing>
        <wp:anchor distT="0" distB="0" distL="114300" distR="114300" simplePos="0" relativeHeight="251658752" behindDoc="1" locked="1" layoutInCell="1" allowOverlap="1" wp14:anchorId="4CF84AA0" wp14:editId="6C53C52C">
          <wp:simplePos x="0" y="0"/>
          <wp:positionH relativeFrom="page">
            <wp:posOffset>805815</wp:posOffset>
          </wp:positionH>
          <wp:positionV relativeFrom="page">
            <wp:posOffset>4568190</wp:posOffset>
          </wp:positionV>
          <wp:extent cx="798830" cy="798195"/>
          <wp:effectExtent l="0" t="0" r="0" b="0"/>
          <wp:wrapNone/>
          <wp:docPr id="7" name="Picture 7" descr="vannmerke_frame.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7728" behindDoc="1" locked="1" layoutInCell="1" allowOverlap="1" wp14:anchorId="64C01C26" wp14:editId="3904BEB0">
          <wp:simplePos x="0" y="0"/>
          <wp:positionH relativeFrom="page">
            <wp:posOffset>805815</wp:posOffset>
          </wp:positionH>
          <wp:positionV relativeFrom="page">
            <wp:posOffset>3718560</wp:posOffset>
          </wp:positionV>
          <wp:extent cx="798830" cy="798195"/>
          <wp:effectExtent l="0" t="0" r="0" b="0"/>
          <wp:wrapNone/>
          <wp:docPr id="6" name="Picture 7" descr="vannmerke_frame.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0FC35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4F653A"/>
    <w:multiLevelType w:val="hybridMultilevel"/>
    <w:tmpl w:val="1B864B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F7D2D94"/>
    <w:multiLevelType w:val="hybridMultilevel"/>
    <w:tmpl w:val="86AE413A"/>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7176716"/>
    <w:multiLevelType w:val="hybridMultilevel"/>
    <w:tmpl w:val="EC948682"/>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7940466"/>
    <w:multiLevelType w:val="hybridMultilevel"/>
    <w:tmpl w:val="F30A4A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D48468A"/>
    <w:multiLevelType w:val="hybridMultilevel"/>
    <w:tmpl w:val="7AE62C9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72920C1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86161DA"/>
    <w:multiLevelType w:val="hybridMultilevel"/>
    <w:tmpl w:val="D6749AAC"/>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AF13E1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BB11B9F"/>
    <w:multiLevelType w:val="hybridMultilevel"/>
    <w:tmpl w:val="B4163D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C61781D"/>
    <w:multiLevelType w:val="hybridMultilevel"/>
    <w:tmpl w:val="3F3890DA"/>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F687F9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10"/>
  </w:num>
  <w:num w:numId="3">
    <w:abstractNumId w:val="7"/>
  </w:num>
  <w:num w:numId="4">
    <w:abstractNumId w:val="3"/>
  </w:num>
  <w:num w:numId="5">
    <w:abstractNumId w:val="2"/>
  </w:num>
  <w:num w:numId="6">
    <w:abstractNumId w:val="4"/>
  </w:num>
  <w:num w:numId="7">
    <w:abstractNumId w:val="9"/>
  </w:num>
  <w:num w:numId="8">
    <w:abstractNumId w:val="1"/>
  </w:num>
  <w:num w:numId="9">
    <w:abstractNumId w:val="0"/>
  </w:num>
  <w:num w:numId="10">
    <w:abstractNumId w:val="6"/>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b-NO" w:vendorID="64" w:dllVersion="6" w:nlCheck="1" w:checkStyle="0"/>
  <w:activeWritingStyle w:appName="MSWord" w:lang="nb-NO" w:vendorID="64" w:dllVersion="4096" w:nlCheck="1" w:checkStyle="0"/>
  <w:activeWritingStyle w:appName="MSWord" w:lang="en-US" w:vendorID="64" w:dllVersion="4096" w:nlCheck="1" w:checkStyle="0"/>
  <w:activeWritingStyle w:appName="MSWord" w:lang="nb-NO" w:vendorID="64" w:dllVersion="131078" w:nlCheck="1" w:checkStyle="0"/>
  <w:documentProtection w:edit="readOnly" w:enforcement="0"/>
  <w:defaultTabStop w:val="709"/>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D93"/>
    <w:rsid w:val="00002EA4"/>
    <w:rsid w:val="00003A0C"/>
    <w:rsid w:val="00010D78"/>
    <w:rsid w:val="00025304"/>
    <w:rsid w:val="00032347"/>
    <w:rsid w:val="000340A4"/>
    <w:rsid w:val="000477F9"/>
    <w:rsid w:val="00051671"/>
    <w:rsid w:val="00051B7A"/>
    <w:rsid w:val="000532F9"/>
    <w:rsid w:val="00054391"/>
    <w:rsid w:val="00061ACD"/>
    <w:rsid w:val="000668C9"/>
    <w:rsid w:val="000711C4"/>
    <w:rsid w:val="000838D4"/>
    <w:rsid w:val="00096609"/>
    <w:rsid w:val="000A3ECB"/>
    <w:rsid w:val="000B0632"/>
    <w:rsid w:val="000B4EEC"/>
    <w:rsid w:val="000C5ED5"/>
    <w:rsid w:val="000C74C8"/>
    <w:rsid w:val="000E057C"/>
    <w:rsid w:val="000E5C0E"/>
    <w:rsid w:val="000E66F6"/>
    <w:rsid w:val="000F55A8"/>
    <w:rsid w:val="00102D22"/>
    <w:rsid w:val="00104520"/>
    <w:rsid w:val="001138E2"/>
    <w:rsid w:val="00121A68"/>
    <w:rsid w:val="0013093A"/>
    <w:rsid w:val="00133343"/>
    <w:rsid w:val="00147EC9"/>
    <w:rsid w:val="0016310F"/>
    <w:rsid w:val="0016697A"/>
    <w:rsid w:val="00170244"/>
    <w:rsid w:val="001724EE"/>
    <w:rsid w:val="00185D79"/>
    <w:rsid w:val="001A0292"/>
    <w:rsid w:val="001A43FF"/>
    <w:rsid w:val="001A63F3"/>
    <w:rsid w:val="001A7477"/>
    <w:rsid w:val="001B389C"/>
    <w:rsid w:val="001C3144"/>
    <w:rsid w:val="001C455E"/>
    <w:rsid w:val="001C53D1"/>
    <w:rsid w:val="001C558F"/>
    <w:rsid w:val="001E1FD6"/>
    <w:rsid w:val="001F2CDA"/>
    <w:rsid w:val="001F3FF6"/>
    <w:rsid w:val="00202A26"/>
    <w:rsid w:val="00203485"/>
    <w:rsid w:val="00204F25"/>
    <w:rsid w:val="0020706A"/>
    <w:rsid w:val="00210114"/>
    <w:rsid w:val="00210B5F"/>
    <w:rsid w:val="00215F3E"/>
    <w:rsid w:val="00221E63"/>
    <w:rsid w:val="00223A9B"/>
    <w:rsid w:val="002308E6"/>
    <w:rsid w:val="0023306B"/>
    <w:rsid w:val="00236B41"/>
    <w:rsid w:val="0024269A"/>
    <w:rsid w:val="00245C77"/>
    <w:rsid w:val="002535E6"/>
    <w:rsid w:val="00255942"/>
    <w:rsid w:val="00261A25"/>
    <w:rsid w:val="00263B4A"/>
    <w:rsid w:val="00283ADC"/>
    <w:rsid w:val="00291796"/>
    <w:rsid w:val="00296BD0"/>
    <w:rsid w:val="002A4945"/>
    <w:rsid w:val="002A664E"/>
    <w:rsid w:val="002B2961"/>
    <w:rsid w:val="002B7525"/>
    <w:rsid w:val="002C0398"/>
    <w:rsid w:val="002C1BB8"/>
    <w:rsid w:val="002C4E37"/>
    <w:rsid w:val="002D0C99"/>
    <w:rsid w:val="002E3A65"/>
    <w:rsid w:val="002E52AC"/>
    <w:rsid w:val="002F4A4E"/>
    <w:rsid w:val="002F4F99"/>
    <w:rsid w:val="002F569C"/>
    <w:rsid w:val="00305B12"/>
    <w:rsid w:val="003157B3"/>
    <w:rsid w:val="0031741E"/>
    <w:rsid w:val="003213F8"/>
    <w:rsid w:val="00325669"/>
    <w:rsid w:val="0032641E"/>
    <w:rsid w:val="00326DE7"/>
    <w:rsid w:val="00332A21"/>
    <w:rsid w:val="00334FA3"/>
    <w:rsid w:val="00336F4E"/>
    <w:rsid w:val="00340EA5"/>
    <w:rsid w:val="00344B5C"/>
    <w:rsid w:val="00356719"/>
    <w:rsid w:val="00364119"/>
    <w:rsid w:val="00366500"/>
    <w:rsid w:val="00381048"/>
    <w:rsid w:val="00381B02"/>
    <w:rsid w:val="00385FD5"/>
    <w:rsid w:val="00387E5F"/>
    <w:rsid w:val="00391CED"/>
    <w:rsid w:val="003A445F"/>
    <w:rsid w:val="003A4673"/>
    <w:rsid w:val="003A733F"/>
    <w:rsid w:val="003B0110"/>
    <w:rsid w:val="003B4B8A"/>
    <w:rsid w:val="003C3380"/>
    <w:rsid w:val="003C6CA2"/>
    <w:rsid w:val="003D2EFF"/>
    <w:rsid w:val="003D5348"/>
    <w:rsid w:val="003D561F"/>
    <w:rsid w:val="003E32A4"/>
    <w:rsid w:val="003F2C47"/>
    <w:rsid w:val="003F47F0"/>
    <w:rsid w:val="003F5115"/>
    <w:rsid w:val="004008F0"/>
    <w:rsid w:val="0041138F"/>
    <w:rsid w:val="00412561"/>
    <w:rsid w:val="004213D6"/>
    <w:rsid w:val="00426DF8"/>
    <w:rsid w:val="00432910"/>
    <w:rsid w:val="004416D1"/>
    <w:rsid w:val="004424EF"/>
    <w:rsid w:val="00442F10"/>
    <w:rsid w:val="00467D80"/>
    <w:rsid w:val="00471A58"/>
    <w:rsid w:val="00471B4D"/>
    <w:rsid w:val="00471DAC"/>
    <w:rsid w:val="00472B98"/>
    <w:rsid w:val="0047422B"/>
    <w:rsid w:val="00483FE9"/>
    <w:rsid w:val="004850FD"/>
    <w:rsid w:val="004A0646"/>
    <w:rsid w:val="004A1052"/>
    <w:rsid w:val="004A6BEA"/>
    <w:rsid w:val="004B6046"/>
    <w:rsid w:val="004C2667"/>
    <w:rsid w:val="004C2C49"/>
    <w:rsid w:val="004D63A6"/>
    <w:rsid w:val="004E10D2"/>
    <w:rsid w:val="004E69B4"/>
    <w:rsid w:val="004F3227"/>
    <w:rsid w:val="004F328C"/>
    <w:rsid w:val="004F44DB"/>
    <w:rsid w:val="00503DE0"/>
    <w:rsid w:val="00504FEE"/>
    <w:rsid w:val="00507BAE"/>
    <w:rsid w:val="0051239B"/>
    <w:rsid w:val="005172DA"/>
    <w:rsid w:val="00521C87"/>
    <w:rsid w:val="00524072"/>
    <w:rsid w:val="005249B9"/>
    <w:rsid w:val="0053482F"/>
    <w:rsid w:val="00543D9D"/>
    <w:rsid w:val="0055525F"/>
    <w:rsid w:val="00555487"/>
    <w:rsid w:val="00556ECF"/>
    <w:rsid w:val="005669BB"/>
    <w:rsid w:val="00574517"/>
    <w:rsid w:val="005747FB"/>
    <w:rsid w:val="005775EB"/>
    <w:rsid w:val="00582B29"/>
    <w:rsid w:val="005838AD"/>
    <w:rsid w:val="00583EDD"/>
    <w:rsid w:val="00586753"/>
    <w:rsid w:val="00586BE4"/>
    <w:rsid w:val="005A01C2"/>
    <w:rsid w:val="005A0354"/>
    <w:rsid w:val="005A3185"/>
    <w:rsid w:val="005B02F2"/>
    <w:rsid w:val="005B0488"/>
    <w:rsid w:val="005D28E7"/>
    <w:rsid w:val="005E0D18"/>
    <w:rsid w:val="005E14E8"/>
    <w:rsid w:val="005E29E0"/>
    <w:rsid w:val="005E6F06"/>
    <w:rsid w:val="005F181D"/>
    <w:rsid w:val="005F567C"/>
    <w:rsid w:val="005F6C42"/>
    <w:rsid w:val="00601F3F"/>
    <w:rsid w:val="00605067"/>
    <w:rsid w:val="00606802"/>
    <w:rsid w:val="00606888"/>
    <w:rsid w:val="0061551A"/>
    <w:rsid w:val="006167E0"/>
    <w:rsid w:val="00620731"/>
    <w:rsid w:val="00624A1D"/>
    <w:rsid w:val="0062632B"/>
    <w:rsid w:val="00627A7E"/>
    <w:rsid w:val="00630C2C"/>
    <w:rsid w:val="006355EF"/>
    <w:rsid w:val="00637134"/>
    <w:rsid w:val="006433B0"/>
    <w:rsid w:val="00645643"/>
    <w:rsid w:val="00646322"/>
    <w:rsid w:val="00646C8D"/>
    <w:rsid w:val="006513AB"/>
    <w:rsid w:val="006553AF"/>
    <w:rsid w:val="00661AC5"/>
    <w:rsid w:val="00662959"/>
    <w:rsid w:val="00683723"/>
    <w:rsid w:val="00686ABD"/>
    <w:rsid w:val="0069261F"/>
    <w:rsid w:val="0069792F"/>
    <w:rsid w:val="006A1AD2"/>
    <w:rsid w:val="006A4628"/>
    <w:rsid w:val="006B2A25"/>
    <w:rsid w:val="006C4552"/>
    <w:rsid w:val="006E09D3"/>
    <w:rsid w:val="006F2626"/>
    <w:rsid w:val="006F5413"/>
    <w:rsid w:val="0070036B"/>
    <w:rsid w:val="00701F3C"/>
    <w:rsid w:val="0070206C"/>
    <w:rsid w:val="00707411"/>
    <w:rsid w:val="007165D3"/>
    <w:rsid w:val="00716E74"/>
    <w:rsid w:val="0072108B"/>
    <w:rsid w:val="007322A0"/>
    <w:rsid w:val="007354F6"/>
    <w:rsid w:val="00737E2C"/>
    <w:rsid w:val="00751529"/>
    <w:rsid w:val="007534C7"/>
    <w:rsid w:val="007620B6"/>
    <w:rsid w:val="0076588D"/>
    <w:rsid w:val="00772506"/>
    <w:rsid w:val="00783D0C"/>
    <w:rsid w:val="007906F8"/>
    <w:rsid w:val="0079087D"/>
    <w:rsid w:val="007A1956"/>
    <w:rsid w:val="007A5E67"/>
    <w:rsid w:val="007C30C1"/>
    <w:rsid w:val="007C7646"/>
    <w:rsid w:val="007E220F"/>
    <w:rsid w:val="007E4DBD"/>
    <w:rsid w:val="007E5442"/>
    <w:rsid w:val="007F1590"/>
    <w:rsid w:val="007F1A02"/>
    <w:rsid w:val="007F240E"/>
    <w:rsid w:val="007F67DB"/>
    <w:rsid w:val="00813BFF"/>
    <w:rsid w:val="008157CA"/>
    <w:rsid w:val="00825C5F"/>
    <w:rsid w:val="00845EB1"/>
    <w:rsid w:val="00856A20"/>
    <w:rsid w:val="00870680"/>
    <w:rsid w:val="008766DC"/>
    <w:rsid w:val="00880791"/>
    <w:rsid w:val="008819D6"/>
    <w:rsid w:val="00883A2A"/>
    <w:rsid w:val="00892D9E"/>
    <w:rsid w:val="00897BE1"/>
    <w:rsid w:val="008B373D"/>
    <w:rsid w:val="008B4CCA"/>
    <w:rsid w:val="008C43B7"/>
    <w:rsid w:val="008C7E56"/>
    <w:rsid w:val="008D4F3B"/>
    <w:rsid w:val="008D547F"/>
    <w:rsid w:val="008F47CB"/>
    <w:rsid w:val="008F6784"/>
    <w:rsid w:val="008F78C7"/>
    <w:rsid w:val="008F78FB"/>
    <w:rsid w:val="00900188"/>
    <w:rsid w:val="00903CBB"/>
    <w:rsid w:val="00920F15"/>
    <w:rsid w:val="00921DBC"/>
    <w:rsid w:val="00932FA4"/>
    <w:rsid w:val="00934171"/>
    <w:rsid w:val="00937EBB"/>
    <w:rsid w:val="00945F8B"/>
    <w:rsid w:val="009471ED"/>
    <w:rsid w:val="0095053A"/>
    <w:rsid w:val="0096155B"/>
    <w:rsid w:val="00964427"/>
    <w:rsid w:val="00966827"/>
    <w:rsid w:val="00973882"/>
    <w:rsid w:val="00982A88"/>
    <w:rsid w:val="00985D9C"/>
    <w:rsid w:val="00991761"/>
    <w:rsid w:val="00994F5C"/>
    <w:rsid w:val="009A2881"/>
    <w:rsid w:val="009A6B6B"/>
    <w:rsid w:val="009A702C"/>
    <w:rsid w:val="009B0415"/>
    <w:rsid w:val="009B3253"/>
    <w:rsid w:val="009B4E46"/>
    <w:rsid w:val="009D0879"/>
    <w:rsid w:val="009D4C81"/>
    <w:rsid w:val="009E7795"/>
    <w:rsid w:val="009F2B83"/>
    <w:rsid w:val="009F4E58"/>
    <w:rsid w:val="009F5A5C"/>
    <w:rsid w:val="009F6EB8"/>
    <w:rsid w:val="009F7FAC"/>
    <w:rsid w:val="00A13732"/>
    <w:rsid w:val="00A2381F"/>
    <w:rsid w:val="00A23E95"/>
    <w:rsid w:val="00A32E11"/>
    <w:rsid w:val="00A3325A"/>
    <w:rsid w:val="00A40D47"/>
    <w:rsid w:val="00A4466F"/>
    <w:rsid w:val="00A46423"/>
    <w:rsid w:val="00A500B3"/>
    <w:rsid w:val="00A53422"/>
    <w:rsid w:val="00A545DE"/>
    <w:rsid w:val="00A5579C"/>
    <w:rsid w:val="00A55C48"/>
    <w:rsid w:val="00A62B82"/>
    <w:rsid w:val="00A6687D"/>
    <w:rsid w:val="00A67393"/>
    <w:rsid w:val="00A6739A"/>
    <w:rsid w:val="00A7494C"/>
    <w:rsid w:val="00A82D93"/>
    <w:rsid w:val="00A83BEE"/>
    <w:rsid w:val="00A93757"/>
    <w:rsid w:val="00AA3892"/>
    <w:rsid w:val="00AA68A1"/>
    <w:rsid w:val="00AA7420"/>
    <w:rsid w:val="00AB4890"/>
    <w:rsid w:val="00AC362D"/>
    <w:rsid w:val="00AC4272"/>
    <w:rsid w:val="00AE1FA7"/>
    <w:rsid w:val="00AE2067"/>
    <w:rsid w:val="00AE46FF"/>
    <w:rsid w:val="00AE6604"/>
    <w:rsid w:val="00AF11AF"/>
    <w:rsid w:val="00AF2CF7"/>
    <w:rsid w:val="00B0050D"/>
    <w:rsid w:val="00B06A98"/>
    <w:rsid w:val="00B146FE"/>
    <w:rsid w:val="00B155D8"/>
    <w:rsid w:val="00B164CC"/>
    <w:rsid w:val="00B22274"/>
    <w:rsid w:val="00B26AB8"/>
    <w:rsid w:val="00B30C87"/>
    <w:rsid w:val="00B30D53"/>
    <w:rsid w:val="00B32BB1"/>
    <w:rsid w:val="00B32D61"/>
    <w:rsid w:val="00B43027"/>
    <w:rsid w:val="00B44C2B"/>
    <w:rsid w:val="00B6313D"/>
    <w:rsid w:val="00B6623C"/>
    <w:rsid w:val="00B73C0C"/>
    <w:rsid w:val="00B74C8D"/>
    <w:rsid w:val="00B76299"/>
    <w:rsid w:val="00B87D69"/>
    <w:rsid w:val="00B93ADD"/>
    <w:rsid w:val="00BA0D1A"/>
    <w:rsid w:val="00BB3AF0"/>
    <w:rsid w:val="00BB5CDD"/>
    <w:rsid w:val="00BC026B"/>
    <w:rsid w:val="00BE0957"/>
    <w:rsid w:val="00BE2551"/>
    <w:rsid w:val="00C134F0"/>
    <w:rsid w:val="00C15242"/>
    <w:rsid w:val="00C1524A"/>
    <w:rsid w:val="00C16A07"/>
    <w:rsid w:val="00C16ABE"/>
    <w:rsid w:val="00C23CF2"/>
    <w:rsid w:val="00C247D6"/>
    <w:rsid w:val="00C348C5"/>
    <w:rsid w:val="00C37C76"/>
    <w:rsid w:val="00C37D1F"/>
    <w:rsid w:val="00C41180"/>
    <w:rsid w:val="00C64333"/>
    <w:rsid w:val="00C64823"/>
    <w:rsid w:val="00C6603F"/>
    <w:rsid w:val="00C70BC3"/>
    <w:rsid w:val="00C74D9E"/>
    <w:rsid w:val="00C80F67"/>
    <w:rsid w:val="00C820B6"/>
    <w:rsid w:val="00C910DB"/>
    <w:rsid w:val="00C93B9F"/>
    <w:rsid w:val="00CA6EE8"/>
    <w:rsid w:val="00CB0094"/>
    <w:rsid w:val="00CB78DD"/>
    <w:rsid w:val="00CC3967"/>
    <w:rsid w:val="00CD16CE"/>
    <w:rsid w:val="00CD188B"/>
    <w:rsid w:val="00CE4F34"/>
    <w:rsid w:val="00CF0A69"/>
    <w:rsid w:val="00D11A8A"/>
    <w:rsid w:val="00D2012B"/>
    <w:rsid w:val="00D3703C"/>
    <w:rsid w:val="00D430A1"/>
    <w:rsid w:val="00D60ECA"/>
    <w:rsid w:val="00D6207B"/>
    <w:rsid w:val="00D624B5"/>
    <w:rsid w:val="00D72566"/>
    <w:rsid w:val="00D82054"/>
    <w:rsid w:val="00D8380A"/>
    <w:rsid w:val="00D85D42"/>
    <w:rsid w:val="00D85E7F"/>
    <w:rsid w:val="00D87184"/>
    <w:rsid w:val="00D95784"/>
    <w:rsid w:val="00D965EC"/>
    <w:rsid w:val="00DA31F4"/>
    <w:rsid w:val="00DA527E"/>
    <w:rsid w:val="00DB26FB"/>
    <w:rsid w:val="00DB2DA9"/>
    <w:rsid w:val="00DB5AB2"/>
    <w:rsid w:val="00DC1458"/>
    <w:rsid w:val="00DC6F17"/>
    <w:rsid w:val="00DD1C40"/>
    <w:rsid w:val="00DD3378"/>
    <w:rsid w:val="00DE0893"/>
    <w:rsid w:val="00DE181B"/>
    <w:rsid w:val="00DE2694"/>
    <w:rsid w:val="00DE293E"/>
    <w:rsid w:val="00DE4E8B"/>
    <w:rsid w:val="00DE5127"/>
    <w:rsid w:val="00DF097B"/>
    <w:rsid w:val="00DF1DFF"/>
    <w:rsid w:val="00DF26A6"/>
    <w:rsid w:val="00E45533"/>
    <w:rsid w:val="00E457DE"/>
    <w:rsid w:val="00E57F7C"/>
    <w:rsid w:val="00E63467"/>
    <w:rsid w:val="00E77FDC"/>
    <w:rsid w:val="00E801E1"/>
    <w:rsid w:val="00E81115"/>
    <w:rsid w:val="00E82B68"/>
    <w:rsid w:val="00E91AD6"/>
    <w:rsid w:val="00EA1493"/>
    <w:rsid w:val="00EB2170"/>
    <w:rsid w:val="00EC3332"/>
    <w:rsid w:val="00EC503D"/>
    <w:rsid w:val="00EC6DDA"/>
    <w:rsid w:val="00ED3A0A"/>
    <w:rsid w:val="00ED469E"/>
    <w:rsid w:val="00EE270A"/>
    <w:rsid w:val="00EE6F9C"/>
    <w:rsid w:val="00EF541D"/>
    <w:rsid w:val="00F00100"/>
    <w:rsid w:val="00F01925"/>
    <w:rsid w:val="00F04B2E"/>
    <w:rsid w:val="00F06CFB"/>
    <w:rsid w:val="00F26702"/>
    <w:rsid w:val="00F32660"/>
    <w:rsid w:val="00F32FCC"/>
    <w:rsid w:val="00F52407"/>
    <w:rsid w:val="00F52CD2"/>
    <w:rsid w:val="00F54A1E"/>
    <w:rsid w:val="00F71CD8"/>
    <w:rsid w:val="00F80159"/>
    <w:rsid w:val="00F80A4F"/>
    <w:rsid w:val="00F8647F"/>
    <w:rsid w:val="00F9154B"/>
    <w:rsid w:val="00F96B48"/>
    <w:rsid w:val="00FA06C0"/>
    <w:rsid w:val="00FB06E8"/>
    <w:rsid w:val="00FB462F"/>
    <w:rsid w:val="00FC4AE3"/>
    <w:rsid w:val="00FD4641"/>
    <w:rsid w:val="00FE3FFD"/>
    <w:rsid w:val="00FE4166"/>
    <w:rsid w:val="00FE6F92"/>
    <w:rsid w:val="00FF3FAA"/>
    <w:rsid w:val="00FF6BB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40B417"/>
  <w15:chartTrackingRefBased/>
  <w15:docId w15:val="{4A17C156-4337-0946-8DF1-9FA109B81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en-US" w:bidi="ar-SA"/>
      </w:rPr>
    </w:rPrDefault>
    <w:pPrDefault/>
  </w:docDefaults>
  <w:latentStyles w:defLockedState="0" w:defUIPriority="99" w:defSemiHidden="0" w:defUnhideWhenUsed="0" w:defQFormat="0" w:count="371">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70206C"/>
    <w:pPr>
      <w:spacing w:after="200" w:line="276" w:lineRule="auto"/>
      <w:jc w:val="both"/>
    </w:pPr>
    <w:rPr>
      <w:sz w:val="22"/>
      <w:szCs w:val="22"/>
    </w:rPr>
  </w:style>
  <w:style w:type="paragraph" w:styleId="Heading1">
    <w:name w:val="heading 1"/>
    <w:basedOn w:val="Normal"/>
    <w:next w:val="Normal"/>
    <w:link w:val="Heading1Char"/>
    <w:uiPriority w:val="9"/>
    <w:qFormat/>
    <w:rsid w:val="00DE4E8B"/>
    <w:pPr>
      <w:keepNext/>
      <w:keepLines/>
      <w:spacing w:before="240" w:after="0" w:line="259" w:lineRule="auto"/>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945F8B"/>
    <w:pPr>
      <w:keepNext/>
      <w:keepLines/>
      <w:spacing w:before="200" w:after="0"/>
      <w:outlineLvl w:val="1"/>
    </w:pPr>
    <w:rPr>
      <w:rFonts w:ascii="Cambria" w:eastAsia="SimSun" w:hAnsi="Cambria"/>
      <w:b/>
      <w:bCs/>
      <w:color w:val="4F81BD"/>
      <w:sz w:val="26"/>
      <w:szCs w:val="26"/>
    </w:rPr>
  </w:style>
  <w:style w:type="paragraph" w:styleId="Heading3">
    <w:name w:val="heading 3"/>
    <w:basedOn w:val="Normal"/>
    <w:next w:val="Normal"/>
    <w:link w:val="Heading3Char"/>
    <w:uiPriority w:val="9"/>
    <w:semiHidden/>
    <w:qFormat/>
    <w:rsid w:val="00B87D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qFormat/>
    <w:rsid w:val="00A545DE"/>
    <w:pPr>
      <w:keepNext/>
      <w:spacing w:before="240" w:after="60"/>
      <w:outlineLvl w:val="3"/>
    </w:pPr>
    <w:rPr>
      <w:rFonts w:eastAsia="SimSu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rsid w:val="006F2626"/>
    <w:pPr>
      <w:tabs>
        <w:tab w:val="center" w:pos="4536"/>
        <w:tab w:val="right" w:pos="9072"/>
      </w:tabs>
      <w:spacing w:after="0" w:line="240" w:lineRule="auto"/>
    </w:pPr>
  </w:style>
  <w:style w:type="character" w:customStyle="1" w:styleId="HeaderChar">
    <w:name w:val="Header Char"/>
    <w:link w:val="Header"/>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3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customStyle="1" w:styleId="Heading2Char">
    <w:name w:val="Heading 2 Char"/>
    <w:link w:val="Heading2"/>
    <w:uiPriority w:val="9"/>
    <w:rsid w:val="00945F8B"/>
    <w:rPr>
      <w:rFonts w:ascii="Cambria" w:eastAsia="SimSun" w:hAnsi="Cambria"/>
      <w:b/>
      <w:bCs/>
      <w:color w:val="4F81BD"/>
      <w:sz w:val="26"/>
      <w:szCs w:val="26"/>
    </w:rPr>
  </w:style>
  <w:style w:type="paragraph" w:customStyle="1" w:styleId="Georgia9UOff">
    <w:name w:val="Georgia9_UOff"/>
    <w:basedOn w:val="Georgia11spacing0after"/>
    <w:qFormat/>
    <w:rsid w:val="007620B6"/>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4Char">
    <w:name w:val="Heading 4 Char"/>
    <w:link w:val="Heading4"/>
    <w:uiPriority w:val="9"/>
    <w:semiHidden/>
    <w:rsid w:val="00A545DE"/>
    <w:rPr>
      <w:rFonts w:ascii="Calibri" w:eastAsia="SimSun" w:hAnsi="Calibri" w:cs="Times New Roman"/>
      <w:b/>
      <w:bCs/>
      <w:sz w:val="28"/>
      <w:szCs w:val="28"/>
      <w:lang w:eastAsia="en-US"/>
    </w:rPr>
  </w:style>
  <w:style w:type="paragraph" w:customStyle="1" w:styleId="Default">
    <w:name w:val="Default"/>
    <w:rsid w:val="00A545DE"/>
    <w:pPr>
      <w:autoSpaceDE w:val="0"/>
      <w:autoSpaceDN w:val="0"/>
      <w:adjustRightInd w:val="0"/>
    </w:pPr>
    <w:rPr>
      <w:rFonts w:ascii="Georgia" w:hAnsi="Georgia" w:cs="Georgia"/>
      <w:color w:val="000000"/>
      <w:sz w:val="24"/>
      <w:szCs w:val="24"/>
      <w:lang w:eastAsia="zh-CN"/>
    </w:rPr>
  </w:style>
  <w:style w:type="paragraph" w:styleId="BodyText2">
    <w:name w:val="Body Text 2"/>
    <w:basedOn w:val="Normal"/>
    <w:link w:val="BodyText2Char"/>
    <w:semiHidden/>
    <w:unhideWhenUsed/>
    <w:rsid w:val="00A545DE"/>
    <w:pPr>
      <w:spacing w:after="120" w:line="480" w:lineRule="auto"/>
    </w:pPr>
    <w:rPr>
      <w:rFonts w:ascii="Times" w:eastAsia="Times New Roman" w:hAnsi="Times"/>
      <w:sz w:val="24"/>
      <w:szCs w:val="20"/>
      <w:lang w:val="x-none" w:eastAsia="nb-NO"/>
    </w:rPr>
  </w:style>
  <w:style w:type="character" w:customStyle="1" w:styleId="BodyText2Char">
    <w:name w:val="Body Text 2 Char"/>
    <w:link w:val="BodyText2"/>
    <w:semiHidden/>
    <w:rsid w:val="00A545DE"/>
    <w:rPr>
      <w:rFonts w:ascii="Times" w:eastAsia="Times New Roman" w:hAnsi="Times"/>
      <w:sz w:val="24"/>
      <w:lang w:val="x-none" w:eastAsia="nb-NO"/>
    </w:rPr>
  </w:style>
  <w:style w:type="paragraph" w:styleId="FootnoteText">
    <w:name w:val="footnote text"/>
    <w:basedOn w:val="Normal"/>
    <w:link w:val="FootnoteTextChar"/>
    <w:uiPriority w:val="99"/>
    <w:rsid w:val="00A545DE"/>
    <w:pPr>
      <w:spacing w:after="0" w:line="240" w:lineRule="auto"/>
    </w:pPr>
    <w:rPr>
      <w:rFonts w:ascii="Times" w:eastAsia="Times New Roman" w:hAnsi="Times"/>
      <w:sz w:val="20"/>
      <w:szCs w:val="20"/>
      <w:lang w:eastAsia="nb-NO"/>
    </w:rPr>
  </w:style>
  <w:style w:type="character" w:customStyle="1" w:styleId="FootnoteTextChar">
    <w:name w:val="Footnote Text Char"/>
    <w:link w:val="FootnoteText"/>
    <w:uiPriority w:val="99"/>
    <w:rsid w:val="00A545DE"/>
    <w:rPr>
      <w:rFonts w:ascii="Times" w:eastAsia="Times New Roman" w:hAnsi="Times"/>
      <w:lang w:eastAsia="nb-NO"/>
    </w:rPr>
  </w:style>
  <w:style w:type="character" w:styleId="FootnoteReference">
    <w:name w:val="footnote reference"/>
    <w:uiPriority w:val="99"/>
    <w:rsid w:val="00A545DE"/>
    <w:rPr>
      <w:vertAlign w:val="superscript"/>
    </w:rPr>
  </w:style>
  <w:style w:type="paragraph" w:styleId="PlainText">
    <w:name w:val="Plain Text"/>
    <w:basedOn w:val="Normal"/>
    <w:link w:val="PlainTextChar"/>
    <w:uiPriority w:val="99"/>
    <w:unhideWhenUsed/>
    <w:rsid w:val="009F5A5C"/>
    <w:pPr>
      <w:spacing w:after="0" w:line="240" w:lineRule="auto"/>
    </w:pPr>
    <w:rPr>
      <w:szCs w:val="21"/>
      <w:lang w:eastAsia="zh-CN"/>
    </w:rPr>
  </w:style>
  <w:style w:type="character" w:customStyle="1" w:styleId="PlainTextChar">
    <w:name w:val="Plain Text Char"/>
    <w:link w:val="PlainText"/>
    <w:uiPriority w:val="99"/>
    <w:rsid w:val="009F5A5C"/>
    <w:rPr>
      <w:sz w:val="22"/>
      <w:szCs w:val="21"/>
    </w:rPr>
  </w:style>
  <w:style w:type="paragraph" w:customStyle="1" w:styleId="gp-tekst">
    <w:name w:val="gp-tekst"/>
    <w:basedOn w:val="Normal"/>
    <w:rsid w:val="001138E2"/>
    <w:pPr>
      <w:widowControl w:val="0"/>
      <w:spacing w:after="0" w:line="240" w:lineRule="auto"/>
    </w:pPr>
    <w:rPr>
      <w:rFonts w:ascii="Times" w:eastAsia="Times New Roman" w:hAnsi="Times"/>
      <w:sz w:val="20"/>
      <w:szCs w:val="20"/>
      <w:lang w:val="en-GB" w:eastAsia="nb-NO"/>
    </w:rPr>
  </w:style>
  <w:style w:type="character" w:customStyle="1" w:styleId="Heading1Char">
    <w:name w:val="Heading 1 Char"/>
    <w:link w:val="Heading1"/>
    <w:uiPriority w:val="9"/>
    <w:rsid w:val="00DE4E8B"/>
    <w:rPr>
      <w:rFonts w:ascii="Calibri Light" w:eastAsia="Times New Roman" w:hAnsi="Calibri Light"/>
      <w:color w:val="2E74B5"/>
      <w:sz w:val="32"/>
      <w:szCs w:val="32"/>
      <w:lang w:eastAsia="en-US"/>
    </w:rPr>
  </w:style>
  <w:style w:type="character" w:styleId="Hyperlink">
    <w:name w:val="Hyperlink"/>
    <w:uiPriority w:val="99"/>
    <w:unhideWhenUsed/>
    <w:rsid w:val="00DE4E8B"/>
    <w:rPr>
      <w:color w:val="0563C1"/>
      <w:u w:val="single"/>
    </w:rPr>
  </w:style>
  <w:style w:type="character" w:styleId="FollowedHyperlink">
    <w:name w:val="FollowedHyperlink"/>
    <w:uiPriority w:val="99"/>
    <w:semiHidden/>
    <w:unhideWhenUsed/>
    <w:rsid w:val="00DE4E8B"/>
    <w:rPr>
      <w:color w:val="954F72"/>
      <w:u w:val="single"/>
    </w:rPr>
  </w:style>
  <w:style w:type="paragraph" w:styleId="ListParagraph">
    <w:name w:val="List Paragraph"/>
    <w:basedOn w:val="Normal"/>
    <w:uiPriority w:val="34"/>
    <w:qFormat/>
    <w:rsid w:val="00B146FE"/>
    <w:pPr>
      <w:spacing w:after="160" w:line="259" w:lineRule="auto"/>
      <w:ind w:left="720"/>
      <w:contextualSpacing/>
    </w:pPr>
  </w:style>
  <w:style w:type="character" w:styleId="CommentReference">
    <w:name w:val="annotation reference"/>
    <w:uiPriority w:val="99"/>
    <w:semiHidden/>
    <w:unhideWhenUsed/>
    <w:rsid w:val="00F71CD8"/>
    <w:rPr>
      <w:sz w:val="16"/>
      <w:szCs w:val="16"/>
    </w:rPr>
  </w:style>
  <w:style w:type="paragraph" w:styleId="CommentText">
    <w:name w:val="annotation text"/>
    <w:basedOn w:val="Normal"/>
    <w:link w:val="CommentTextChar"/>
    <w:uiPriority w:val="99"/>
    <w:semiHidden/>
    <w:unhideWhenUsed/>
    <w:rsid w:val="00F71CD8"/>
    <w:pPr>
      <w:spacing w:after="160" w:line="240" w:lineRule="auto"/>
    </w:pPr>
    <w:rPr>
      <w:sz w:val="20"/>
      <w:szCs w:val="20"/>
    </w:rPr>
  </w:style>
  <w:style w:type="character" w:customStyle="1" w:styleId="CommentTextChar">
    <w:name w:val="Comment Text Char"/>
    <w:link w:val="CommentText"/>
    <w:uiPriority w:val="99"/>
    <w:semiHidden/>
    <w:rsid w:val="00F71CD8"/>
    <w:rPr>
      <w:lang w:eastAsia="en-US"/>
    </w:rPr>
  </w:style>
  <w:style w:type="table" w:styleId="GridTable5Dark">
    <w:name w:val="Grid Table 5 Dark"/>
    <w:basedOn w:val="TableNormal"/>
    <w:uiPriority w:val="50"/>
    <w:rsid w:val="009F7F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BodyText">
    <w:name w:val="Body Text"/>
    <w:basedOn w:val="Normal"/>
    <w:link w:val="BodyTextChar"/>
    <w:uiPriority w:val="99"/>
    <w:unhideWhenUsed/>
    <w:rsid w:val="0070206C"/>
    <w:pPr>
      <w:spacing w:after="120"/>
    </w:pPr>
    <w:rPr>
      <w:rFonts w:asciiTheme="minorHAnsi" w:hAnsiTheme="minorHAnsi"/>
    </w:rPr>
  </w:style>
  <w:style w:type="character" w:customStyle="1" w:styleId="BodyTextChar">
    <w:name w:val="Body Text Char"/>
    <w:basedOn w:val="DefaultParagraphFont"/>
    <w:link w:val="BodyText"/>
    <w:uiPriority w:val="99"/>
    <w:rsid w:val="0070206C"/>
    <w:rPr>
      <w:rFonts w:asciiTheme="minorHAnsi" w:hAnsiTheme="minorHAnsi"/>
      <w:sz w:val="22"/>
      <w:szCs w:val="22"/>
    </w:rPr>
  </w:style>
  <w:style w:type="paragraph" w:styleId="Title">
    <w:name w:val="Title"/>
    <w:basedOn w:val="Normal"/>
    <w:next w:val="Normal"/>
    <w:link w:val="TitleChar"/>
    <w:uiPriority w:val="10"/>
    <w:semiHidden/>
    <w:qFormat/>
    <w:rsid w:val="00104520"/>
    <w:pPr>
      <w:spacing w:after="0" w:line="240" w:lineRule="auto"/>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104520"/>
    <w:rPr>
      <w:rFonts w:asciiTheme="majorHAnsi" w:eastAsiaTheme="majorEastAsia" w:hAnsiTheme="majorHAnsi" w:cstheme="majorBidi"/>
      <w:spacing w:val="-10"/>
      <w:kern w:val="28"/>
      <w:sz w:val="56"/>
      <w:szCs w:val="56"/>
    </w:rPr>
  </w:style>
  <w:style w:type="paragraph" w:styleId="ListBullet">
    <w:name w:val="List Bullet"/>
    <w:basedOn w:val="Normal"/>
    <w:uiPriority w:val="99"/>
    <w:unhideWhenUsed/>
    <w:rsid w:val="0070206C"/>
    <w:pPr>
      <w:numPr>
        <w:numId w:val="9"/>
      </w:numPr>
      <w:contextualSpacing/>
    </w:pPr>
  </w:style>
  <w:style w:type="table" w:styleId="GridTable5Dark-Accent3">
    <w:name w:val="Grid Table 5 Dark Accent 3"/>
    <w:basedOn w:val="TableNormal"/>
    <w:uiPriority w:val="50"/>
    <w:rsid w:val="009F7F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MediumGrid3-Accent3">
    <w:name w:val="Medium Grid 3 Accent 3"/>
    <w:basedOn w:val="TableNormal"/>
    <w:uiPriority w:val="69"/>
    <w:rsid w:val="009F7FA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paragraph" w:styleId="Caption">
    <w:name w:val="caption"/>
    <w:basedOn w:val="Normal"/>
    <w:next w:val="Normal"/>
    <w:uiPriority w:val="35"/>
    <w:semiHidden/>
    <w:qFormat/>
    <w:rsid w:val="007F67DB"/>
    <w:pPr>
      <w:spacing w:before="360" w:after="120" w:line="240" w:lineRule="auto"/>
    </w:pPr>
    <w:rPr>
      <w:i/>
      <w:iCs/>
      <w:color w:val="44546A" w:themeColor="text2"/>
      <w:szCs w:val="18"/>
    </w:rPr>
  </w:style>
  <w:style w:type="paragraph" w:styleId="CommentSubject">
    <w:name w:val="annotation subject"/>
    <w:basedOn w:val="CommentText"/>
    <w:next w:val="CommentText"/>
    <w:link w:val="CommentSubjectChar"/>
    <w:uiPriority w:val="99"/>
    <w:semiHidden/>
    <w:unhideWhenUsed/>
    <w:rsid w:val="00586753"/>
    <w:pPr>
      <w:spacing w:after="200"/>
    </w:pPr>
    <w:rPr>
      <w:b/>
      <w:bCs/>
    </w:rPr>
  </w:style>
  <w:style w:type="character" w:customStyle="1" w:styleId="Heading3Char">
    <w:name w:val="Heading 3 Char"/>
    <w:basedOn w:val="DefaultParagraphFont"/>
    <w:link w:val="Heading3"/>
    <w:uiPriority w:val="9"/>
    <w:semiHidden/>
    <w:rsid w:val="00B87D69"/>
    <w:rPr>
      <w:rFonts w:asciiTheme="majorHAnsi" w:eastAsiaTheme="majorEastAsia" w:hAnsiTheme="majorHAnsi" w:cstheme="majorBidi"/>
      <w:color w:val="1F3763" w:themeColor="accent1" w:themeShade="7F"/>
      <w:sz w:val="24"/>
      <w:szCs w:val="24"/>
    </w:rPr>
  </w:style>
  <w:style w:type="character" w:customStyle="1" w:styleId="CommentSubjectChar">
    <w:name w:val="Comment Subject Char"/>
    <w:basedOn w:val="CommentTextChar"/>
    <w:link w:val="CommentSubject"/>
    <w:uiPriority w:val="99"/>
    <w:semiHidden/>
    <w:rsid w:val="00586753"/>
    <w:rPr>
      <w:b/>
      <w:bCs/>
      <w:lang w:eastAsia="en-US"/>
    </w:rPr>
  </w:style>
  <w:style w:type="paragraph" w:styleId="Quote">
    <w:name w:val="Quote"/>
    <w:basedOn w:val="Normal"/>
    <w:next w:val="Normal"/>
    <w:link w:val="QuoteChar"/>
    <w:uiPriority w:val="29"/>
    <w:semiHidden/>
    <w:qFormat/>
    <w:rsid w:val="00606802"/>
    <w:pPr>
      <w:spacing w:before="200" w:after="160"/>
      <w:ind w:left="864" w:right="864"/>
    </w:pPr>
    <w:rPr>
      <w:i/>
      <w:iCs/>
      <w:color w:val="404040" w:themeColor="text1" w:themeTint="BF"/>
    </w:rPr>
  </w:style>
  <w:style w:type="character" w:customStyle="1" w:styleId="QuoteChar">
    <w:name w:val="Quote Char"/>
    <w:basedOn w:val="DefaultParagraphFont"/>
    <w:link w:val="Quote"/>
    <w:uiPriority w:val="29"/>
    <w:semiHidden/>
    <w:rsid w:val="00606802"/>
    <w:rPr>
      <w:i/>
      <w:iCs/>
      <w:color w:val="404040" w:themeColor="text1" w:themeTint="BF"/>
      <w:sz w:val="22"/>
      <w:szCs w:val="22"/>
    </w:rPr>
  </w:style>
  <w:style w:type="paragraph" w:styleId="BlockText">
    <w:name w:val="Block Text"/>
    <w:basedOn w:val="Normal"/>
    <w:uiPriority w:val="99"/>
    <w:unhideWhenUsed/>
    <w:rsid w:val="00B30C8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361423">
      <w:bodyDiv w:val="1"/>
      <w:marLeft w:val="0"/>
      <w:marRight w:val="0"/>
      <w:marTop w:val="0"/>
      <w:marBottom w:val="0"/>
      <w:divBdr>
        <w:top w:val="none" w:sz="0" w:space="0" w:color="auto"/>
        <w:left w:val="none" w:sz="0" w:space="0" w:color="auto"/>
        <w:bottom w:val="none" w:sz="0" w:space="0" w:color="auto"/>
        <w:right w:val="none" w:sz="0" w:space="0" w:color="auto"/>
      </w:divBdr>
    </w:div>
    <w:div w:id="871461292">
      <w:bodyDiv w:val="1"/>
      <w:marLeft w:val="0"/>
      <w:marRight w:val="0"/>
      <w:marTop w:val="0"/>
      <w:marBottom w:val="0"/>
      <w:divBdr>
        <w:top w:val="none" w:sz="0" w:space="0" w:color="auto"/>
        <w:left w:val="none" w:sz="0" w:space="0" w:color="auto"/>
        <w:bottom w:val="none" w:sz="0" w:space="0" w:color="auto"/>
        <w:right w:val="none" w:sz="0" w:space="0" w:color="auto"/>
      </w:divBdr>
    </w:div>
    <w:div w:id="1292588988">
      <w:bodyDiv w:val="1"/>
      <w:marLeft w:val="0"/>
      <w:marRight w:val="0"/>
      <w:marTop w:val="0"/>
      <w:marBottom w:val="0"/>
      <w:divBdr>
        <w:top w:val="none" w:sz="0" w:space="0" w:color="auto"/>
        <w:left w:val="none" w:sz="0" w:space="0" w:color="auto"/>
        <w:bottom w:val="none" w:sz="0" w:space="0" w:color="auto"/>
        <w:right w:val="none" w:sz="0" w:space="0" w:color="auto"/>
      </w:divBdr>
    </w:div>
    <w:div w:id="139974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orskningsradet.no/no/Nyheter/Norge_trenger_tverrfaglig_forskning_men_ny_studie_viser_at_struktur_og_kultur_star_i_veien/1254038916467/p1174467583739?WT.ac=forside_nyh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FD2FF-26AF-4FF8-9906-F4BCC7EBB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5CC931EE.dotm</Template>
  <TotalTime>0</TotalTime>
  <Pages>12</Pages>
  <Words>7125</Words>
  <Characters>37768</Characters>
  <Application>Microsoft Office Word</Application>
  <DocSecurity>4</DocSecurity>
  <Lines>314</Lines>
  <Paragraphs>89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44804</CharactersWithSpaces>
  <SharedDoc>false</SharedDoc>
  <HLinks>
    <vt:vector size="6" baseType="variant">
      <vt:variant>
        <vt:i4>5242939</vt:i4>
      </vt:variant>
      <vt:variant>
        <vt:i4>0</vt:i4>
      </vt:variant>
      <vt:variant>
        <vt:i4>0</vt:i4>
      </vt:variant>
      <vt:variant>
        <vt:i4>5</vt:i4>
      </vt:variant>
      <vt:variant>
        <vt:lpwstr>https://www.forskningsradet.no/no/Nyheter/Norge_trenger_tverrfaglig_forskning_men_ny_studie_viser_at_struktur_og_kultur_star_i_veien/1254038916467/p1174467583739?WT.ac=forside_nyhet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 Vold-Sarnes</dc:creator>
  <cp:keywords/>
  <cp:lastModifiedBy>Gudleik Grimstad</cp:lastModifiedBy>
  <cp:revision>2</cp:revision>
  <cp:lastPrinted>2019-03-14T15:33:00Z</cp:lastPrinted>
  <dcterms:created xsi:type="dcterms:W3CDTF">2019-03-14T15:40:00Z</dcterms:created>
  <dcterms:modified xsi:type="dcterms:W3CDTF">2019-03-14T15:40:00Z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C:\ephorte\workfolder\uio.ephorte.uninett.no\UIOPROD\84_EphTranslate_ny.dot</vt:lpwstr>
  </property>
  <property fmtid="{D5CDD505-2E9C-101B-9397-08002B2CF9AE}" pid="3" name="ephAutoText">
    <vt:lpwstr/>
  </property>
  <property fmtid="{D5CDD505-2E9C-101B-9397-08002B2CF9AE}" pid="4" name="MergeDataFile">
    <vt:lpwstr>C:\ephorte\workfolder\803593_DOC.XML</vt:lpwstr>
  </property>
  <property fmtid="{D5CDD505-2E9C-101B-9397-08002B2CF9AE}" pid="5" name="CheckInType">
    <vt:lpwstr/>
  </property>
  <property fmtid="{D5CDD505-2E9C-101B-9397-08002B2CF9AE}" pid="6" name="CheckInDocForm">
    <vt:lpwstr>https://uio.ephorte.uninett.no/ePhorteWeb/shared/aspx/Default/CheckInDocForm.aspx</vt:lpwstr>
  </property>
  <property fmtid="{D5CDD505-2E9C-101B-9397-08002B2CF9AE}" pid="7" name="DokType">
    <vt:lpwstr>X</vt:lpwstr>
  </property>
  <property fmtid="{D5CDD505-2E9C-101B-9397-08002B2CF9AE}" pid="8" name="DokID">
    <vt:i4>1030908</vt:i4>
  </property>
  <property fmtid="{D5CDD505-2E9C-101B-9397-08002B2CF9AE}" pid="9" name="Versjon">
    <vt:i4>1</vt:i4>
  </property>
  <property fmtid="{D5CDD505-2E9C-101B-9397-08002B2CF9AE}" pid="10" name="Variant">
    <vt:lpwstr>P</vt:lpwstr>
  </property>
  <property fmtid="{D5CDD505-2E9C-101B-9397-08002B2CF9AE}" pid="11" name="OpenMode">
    <vt:lpwstr>NewDoc</vt:lpwstr>
  </property>
  <property fmtid="{D5CDD505-2E9C-101B-9397-08002B2CF9AE}" pid="12" name="CurrentUrl">
    <vt:lpwstr>https%3a%2f%2fuio.ephorte.uninett.no%2fePhorteWeb%2fshared%2faspx%2fDefault%2fdetails.aspx%3ff%3dViewJP%26JP_ID%3d697992%26LoadDocHandling%3dtrue</vt:lpwstr>
  </property>
  <property fmtid="{D5CDD505-2E9C-101B-9397-08002B2CF9AE}" pid="13" name="WindowName">
    <vt:lpwstr>rbottom</vt:lpwstr>
  </property>
  <property fmtid="{D5CDD505-2E9C-101B-9397-08002B2CF9AE}" pid="14" name="FileName">
    <vt:lpwstr>C%3a%5cephorte%5cworkfolder%5c803593.DOC</vt:lpwstr>
  </property>
  <property fmtid="{D5CDD505-2E9C-101B-9397-08002B2CF9AE}" pid="15" name="LinkId">
    <vt:i4>697992</vt:i4>
  </property>
</Properties>
</file>