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75EDF" w14:textId="77777777" w:rsidR="007C0613" w:rsidRPr="00E068C2" w:rsidRDefault="007C0613" w:rsidP="007C0613">
      <w:pPr>
        <w:pStyle w:val="Heading1"/>
        <w:rPr>
          <w:lang w:val="en-GB"/>
        </w:rPr>
      </w:pPr>
      <w:bookmarkStart w:id="0" w:name="_Toc161320073"/>
      <w:r>
        <w:rPr>
          <w:lang w:val="en-GB"/>
        </w:rPr>
        <w:t>Abstract</w:t>
      </w:r>
      <w:bookmarkEnd w:id="0"/>
    </w:p>
    <w:p w14:paraId="759D1B5A" w14:textId="77777777" w:rsidR="00553183" w:rsidRPr="0052494E" w:rsidRDefault="00553183" w:rsidP="00553183">
      <w:pPr>
        <w:jc w:val="both"/>
        <w:rPr>
          <w:rFonts w:cs="Times New Roman"/>
          <w:lang w:val="en-GB"/>
        </w:rPr>
      </w:pPr>
      <w:r w:rsidRPr="0052494E">
        <w:rPr>
          <w:rFonts w:cs="Times New Roman"/>
          <w:lang w:val="en-GB"/>
        </w:rPr>
        <w:t xml:space="preserve">This doctoral thesis investigates how and why far-right mobilization patterns differ in hybrid regimes compared to democracies. In the past decades, we have witnessed the </w:t>
      </w:r>
      <w:r>
        <w:rPr>
          <w:rFonts w:cs="Times New Roman"/>
          <w:lang w:val="en-GB"/>
        </w:rPr>
        <w:t>far right mobilize</w:t>
      </w:r>
      <w:r w:rsidRPr="0052494E">
        <w:rPr>
          <w:rFonts w:cs="Times New Roman"/>
          <w:lang w:val="en-GB"/>
        </w:rPr>
        <w:t xml:space="preserve"> across the world. Far-right leaders have been in power in some of the world’s largest countries, like India, US, and Brazil; far-right protests have made headlines in countries as diverse as Japan, Israel, Russia, and Bolivia, and far-right violence and terrorism has cost lives in Norway,</w:t>
      </w:r>
      <w:r>
        <w:rPr>
          <w:rFonts w:cs="Times New Roman"/>
          <w:lang w:val="en-GB"/>
        </w:rPr>
        <w:t xml:space="preserve"> Canada,</w:t>
      </w:r>
      <w:r w:rsidRPr="0052494E">
        <w:rPr>
          <w:rFonts w:cs="Times New Roman"/>
          <w:lang w:val="en-GB"/>
        </w:rPr>
        <w:t xml:space="preserve"> New Zealand, and beyond. This has made the far right one of the most researched phenomena in political science. Yet, there is a paradox in this literature: although the far right is a global phenomenon, research on it has been disproportionally focused on a handful of states, mostly liberal democracies in Western Europe, while our knowledge of the movement beyond this region remains limited. This is an important limitation, because most of the world’s population lives in </w:t>
      </w:r>
      <w:proofErr w:type="gramStart"/>
      <w:r w:rsidRPr="0052494E">
        <w:rPr>
          <w:rFonts w:cs="Times New Roman"/>
          <w:lang w:val="en-GB"/>
        </w:rPr>
        <w:t>some kind of a</w:t>
      </w:r>
      <w:proofErr w:type="gramEnd"/>
      <w:r w:rsidRPr="0052494E">
        <w:rPr>
          <w:rFonts w:cs="Times New Roman"/>
          <w:lang w:val="en-GB"/>
        </w:rPr>
        <w:t xml:space="preserve"> hybrid regime, in-between democracy and autocracy, and even democracies have recently been backsliding. This makes the need to expand our attention beyond democracies more important than ever, especially in hybrid regimes, where democracy is most fragile and threats of autocratization are most imminent.</w:t>
      </w:r>
    </w:p>
    <w:p w14:paraId="272F356C" w14:textId="77777777" w:rsidR="00553183" w:rsidRPr="0052494E" w:rsidRDefault="00553183" w:rsidP="00553183">
      <w:pPr>
        <w:jc w:val="both"/>
        <w:rPr>
          <w:rFonts w:cs="Times New Roman"/>
          <w:lang w:val="en-GB"/>
        </w:rPr>
      </w:pPr>
      <w:r w:rsidRPr="0052494E">
        <w:rPr>
          <w:rFonts w:cs="Times New Roman"/>
          <w:lang w:val="en-GB"/>
        </w:rPr>
        <w:t xml:space="preserve">This thesis aims to contribute to this </w:t>
      </w:r>
      <w:r>
        <w:rPr>
          <w:rFonts w:cs="Times New Roman"/>
          <w:lang w:val="en-GB"/>
        </w:rPr>
        <w:t>expansion</w:t>
      </w:r>
      <w:r w:rsidRPr="0052494E">
        <w:rPr>
          <w:rFonts w:cs="Times New Roman"/>
          <w:lang w:val="en-GB"/>
        </w:rPr>
        <w:t xml:space="preserve">. Relying on a comparative case study design, it maps </w:t>
      </w:r>
      <w:r>
        <w:rPr>
          <w:rFonts w:cs="Times New Roman"/>
          <w:lang w:val="en-GB"/>
        </w:rPr>
        <w:t xml:space="preserve">far-right </w:t>
      </w:r>
      <w:r w:rsidRPr="0052494E">
        <w:rPr>
          <w:rFonts w:cs="Times New Roman"/>
          <w:lang w:val="en-GB"/>
        </w:rPr>
        <w:t xml:space="preserve">mobilization in two hybrid regimes – Georgia and Ukraine – and compares them to established knowledge about mobilization in democracies, explaining how and why the Georgian and Ukrainian cases differ. </w:t>
      </w:r>
      <w:r>
        <w:rPr>
          <w:rFonts w:cs="Times New Roman"/>
          <w:lang w:val="en-GB"/>
        </w:rPr>
        <w:t>To this end</w:t>
      </w:r>
      <w:r w:rsidRPr="0052494E">
        <w:rPr>
          <w:rFonts w:cs="Times New Roman"/>
          <w:lang w:val="en-GB"/>
        </w:rPr>
        <w:t xml:space="preserve">, it applies protest event analysis to map mobilization over the last two decades, and social movement theory to explain variation over time. </w:t>
      </w:r>
    </w:p>
    <w:p w14:paraId="59212F19" w14:textId="77777777" w:rsidR="00553183" w:rsidRPr="0052494E" w:rsidRDefault="00553183" w:rsidP="00553183">
      <w:pPr>
        <w:jc w:val="both"/>
        <w:rPr>
          <w:rFonts w:cs="Times New Roman"/>
          <w:lang w:val="en-GB"/>
        </w:rPr>
      </w:pPr>
      <w:r w:rsidRPr="0052494E">
        <w:rPr>
          <w:rFonts w:cs="Times New Roman"/>
          <w:lang w:val="en-GB"/>
        </w:rPr>
        <w:t>The findings of this thesis show that theories aiming to explain mobilization in democracies need to be further developed to properly capture and explain far-right mobilization in hybrid regimes. More specifically, the thesis proposes two overarching arguments about political and discursive opportunities shap</w:t>
      </w:r>
      <w:r>
        <w:rPr>
          <w:rFonts w:cs="Times New Roman"/>
          <w:lang w:val="en-GB"/>
        </w:rPr>
        <w:t>ing</w:t>
      </w:r>
      <w:r w:rsidRPr="0052494E">
        <w:rPr>
          <w:rFonts w:cs="Times New Roman"/>
          <w:lang w:val="en-GB"/>
        </w:rPr>
        <w:t xml:space="preserve"> mobilization in hybrid regimes. First, the political opportunity argument suggests that the far right mobilizes differently in hybrid regimes where electoral representation does not necessarily imply decision-making influence. Unlike democracies, where electoral success moderates far-right protest and violence, in hybrid regimes, moderation does not necessarily happen. Second, the discursive opportunity argument suggests that </w:t>
      </w:r>
      <w:r>
        <w:rPr>
          <w:rFonts w:cs="Times New Roman"/>
          <w:lang w:val="en-GB"/>
        </w:rPr>
        <w:t xml:space="preserve">the </w:t>
      </w:r>
      <w:r w:rsidRPr="0052494E">
        <w:rPr>
          <w:rFonts w:cs="Times New Roman"/>
          <w:lang w:val="en-GB"/>
        </w:rPr>
        <w:t xml:space="preserve">far right has an indirect influence in hybrid regimes, where mainstream parties have more incentive to coopt far-right ideas for short-term gain. This happens because in hybrid regimes, flexible party ideologies and weak voter attachments decrease </w:t>
      </w:r>
      <w:r>
        <w:rPr>
          <w:rFonts w:cs="Times New Roman"/>
          <w:lang w:val="en-GB"/>
        </w:rPr>
        <w:t>accountability to voters</w:t>
      </w:r>
      <w:r w:rsidRPr="0052494E">
        <w:rPr>
          <w:rFonts w:cs="Times New Roman"/>
          <w:lang w:val="en-GB"/>
        </w:rPr>
        <w:t xml:space="preserve">. </w:t>
      </w:r>
    </w:p>
    <w:p w14:paraId="5F617C9D" w14:textId="3B27001F" w:rsidR="007B3341" w:rsidRPr="00866E3F" w:rsidRDefault="00553183" w:rsidP="00553183">
      <w:pPr>
        <w:jc w:val="both"/>
        <w:rPr>
          <w:rFonts w:cs="Times New Roman"/>
          <w:lang w:val="en-GB"/>
        </w:rPr>
      </w:pPr>
      <w:r w:rsidRPr="0052494E">
        <w:rPr>
          <w:rFonts w:cs="Times New Roman"/>
          <w:lang w:val="en-GB"/>
        </w:rPr>
        <w:t xml:space="preserve">The findings of this thesis have important theoretical, empirical, and practical implications. First, they emphasize the value of going beyond </w:t>
      </w:r>
      <w:proofErr w:type="spellStart"/>
      <w:r w:rsidRPr="0052494E">
        <w:rPr>
          <w:rFonts w:cs="Times New Roman"/>
          <w:lang w:val="en-GB"/>
        </w:rPr>
        <w:t>electoralis</w:t>
      </w:r>
      <w:r>
        <w:rPr>
          <w:rFonts w:cs="Times New Roman"/>
          <w:lang w:val="en-GB"/>
        </w:rPr>
        <w:t>t</w:t>
      </w:r>
      <w:proofErr w:type="spellEnd"/>
      <w:r w:rsidRPr="0052494E">
        <w:rPr>
          <w:rFonts w:cs="Times New Roman"/>
          <w:lang w:val="en-GB"/>
        </w:rPr>
        <w:t>, Eurocentri</w:t>
      </w:r>
      <w:r>
        <w:rPr>
          <w:rFonts w:cs="Times New Roman"/>
          <w:lang w:val="en-GB"/>
        </w:rPr>
        <w:t>c</w:t>
      </w:r>
      <w:r w:rsidRPr="0052494E">
        <w:rPr>
          <w:rFonts w:cs="Times New Roman"/>
          <w:lang w:val="en-GB"/>
        </w:rPr>
        <w:t>, and democra</w:t>
      </w:r>
      <w:r>
        <w:rPr>
          <w:rFonts w:cs="Times New Roman"/>
          <w:lang w:val="en-GB"/>
        </w:rPr>
        <w:t>cy-focused biases</w:t>
      </w:r>
      <w:r w:rsidRPr="0052494E">
        <w:rPr>
          <w:rFonts w:cs="Times New Roman"/>
          <w:lang w:val="en-GB"/>
        </w:rPr>
        <w:t xml:space="preserve"> in the research on the far right. Building on this thesis, future research can test these arguments in other hybrid regimes and with other social movements, further specifying the relationship between mobilization patterns and regime type. Second, the longitudinal empirical data offer opportunities to examine mobilization with a wider comparative scope, across countries and over time. And third, democracy promotion efforts in hybrid regimes should focus on reducing political uncertainty and monitoring the </w:t>
      </w:r>
      <w:proofErr w:type="spellStart"/>
      <w:r w:rsidRPr="0052494E">
        <w:rPr>
          <w:rFonts w:cs="Times New Roman"/>
          <w:lang w:val="en-GB"/>
        </w:rPr>
        <w:t>behavior</w:t>
      </w:r>
      <w:proofErr w:type="spellEnd"/>
      <w:r w:rsidRPr="0052494E">
        <w:rPr>
          <w:rFonts w:cs="Times New Roman"/>
          <w:lang w:val="en-GB"/>
        </w:rPr>
        <w:t xml:space="preserve"> of mainstream parties, rather than overemphasizing the direct threat of the far right. Understanding the mobilization and influence of the far right in hybrid regimes tells us way more than merely explaining mobilization dynamics in parts of the world. Rather, it tells a more universal story about the far right in times of uncertainty, not only in hybrid regimes, but also democracies</w:t>
      </w:r>
      <w:r>
        <w:rPr>
          <w:rFonts w:cs="Times New Roman"/>
          <w:lang w:val="en-GB"/>
        </w:rPr>
        <w:t>.</w:t>
      </w:r>
    </w:p>
    <w:sectPr w:rsidR="007B3341" w:rsidRPr="00866E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4B"/>
    <w:rsid w:val="0009106A"/>
    <w:rsid w:val="0013406D"/>
    <w:rsid w:val="001778C7"/>
    <w:rsid w:val="001E2758"/>
    <w:rsid w:val="001E5615"/>
    <w:rsid w:val="00205116"/>
    <w:rsid w:val="00342F0E"/>
    <w:rsid w:val="004636F3"/>
    <w:rsid w:val="00474CB9"/>
    <w:rsid w:val="00484949"/>
    <w:rsid w:val="004F3A12"/>
    <w:rsid w:val="00506EBA"/>
    <w:rsid w:val="00553183"/>
    <w:rsid w:val="00563E04"/>
    <w:rsid w:val="005A088A"/>
    <w:rsid w:val="005C7812"/>
    <w:rsid w:val="005E0959"/>
    <w:rsid w:val="006C503D"/>
    <w:rsid w:val="006D678C"/>
    <w:rsid w:val="007B3341"/>
    <w:rsid w:val="007C0613"/>
    <w:rsid w:val="008373FB"/>
    <w:rsid w:val="00866E3F"/>
    <w:rsid w:val="00885856"/>
    <w:rsid w:val="008C6FD4"/>
    <w:rsid w:val="008E1A2C"/>
    <w:rsid w:val="008E430D"/>
    <w:rsid w:val="008F0E3F"/>
    <w:rsid w:val="00922F61"/>
    <w:rsid w:val="009A2676"/>
    <w:rsid w:val="009B3D4B"/>
    <w:rsid w:val="009D2363"/>
    <w:rsid w:val="00A1740A"/>
    <w:rsid w:val="00C24CCC"/>
    <w:rsid w:val="00C37337"/>
    <w:rsid w:val="00C469C9"/>
    <w:rsid w:val="00C47D82"/>
    <w:rsid w:val="00D712D5"/>
    <w:rsid w:val="00DD1E77"/>
    <w:rsid w:val="00DE6445"/>
    <w:rsid w:val="00EA2DA0"/>
    <w:rsid w:val="00FC2662"/>
    <w:rsid w:val="00FC2F88"/>
    <w:rsid w:val="00FF1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44360"/>
  <w15:chartTrackingRefBased/>
  <w15:docId w15:val="{C03D28E5-4B6C-4811-8BAD-4713CEE1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613"/>
    <w:rPr>
      <w:rFonts w:ascii="Times New Roman" w:hAnsi="Times New Roman"/>
      <w:lang w:val="en-US"/>
    </w:rPr>
  </w:style>
  <w:style w:type="paragraph" w:styleId="Heading1">
    <w:name w:val="heading 1"/>
    <w:basedOn w:val="Normal"/>
    <w:next w:val="Normal"/>
    <w:link w:val="Heading1Char"/>
    <w:uiPriority w:val="9"/>
    <w:qFormat/>
    <w:rsid w:val="007C0613"/>
    <w:pPr>
      <w:keepNext/>
      <w:keepLines/>
      <w:spacing w:before="360" w:after="120"/>
      <w:outlineLvl w:val="0"/>
    </w:pPr>
    <w:rPr>
      <w:rFonts w:eastAsiaTheme="majorEastAsia" w:cstheme="majorBidi"/>
      <w:b/>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613"/>
    <w:rPr>
      <w:rFonts w:ascii="Times New Roman" w:eastAsiaTheme="majorEastAsia" w:hAnsi="Times New Roman" w:cstheme="majorBidi"/>
      <w:b/>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47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4528288B669942A04DD0FC26D38A7E" ma:contentTypeVersion="10" ma:contentTypeDescription="Create a new document." ma:contentTypeScope="" ma:versionID="5aa9590c730213d7d1ac87ed30a1b7e6">
  <xsd:schema xmlns:xsd="http://www.w3.org/2001/XMLSchema" xmlns:xs="http://www.w3.org/2001/XMLSchema" xmlns:p="http://schemas.microsoft.com/office/2006/metadata/properties" xmlns:ns2="81ddff66-9fb7-42cc-9013-c530f11327ff" xmlns:ns3="f2339ab2-52dd-407a-a51f-92335d993934" targetNamespace="http://schemas.microsoft.com/office/2006/metadata/properties" ma:root="true" ma:fieldsID="137fb668f2dafaeee825795c2543aae9" ns2:_="" ns3:_="">
    <xsd:import namespace="81ddff66-9fb7-42cc-9013-c530f11327ff"/>
    <xsd:import namespace="f2339ab2-52dd-407a-a51f-92335d9939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dff66-9fb7-42cc-9013-c530f1132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39ab2-52dd-407a-a51f-92335d9939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b69848-9079-4c22-a5e8-6c9856b884df}" ma:internalName="TaxCatchAll" ma:showField="CatchAllData" ma:web="f2339ab2-52dd-407a-a51f-92335d993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ddff66-9fb7-42cc-9013-c530f11327ff">
      <Terms xmlns="http://schemas.microsoft.com/office/infopath/2007/PartnerControls"/>
    </lcf76f155ced4ddcb4097134ff3c332f>
    <TaxCatchAll xmlns="f2339ab2-52dd-407a-a51f-92335d993934" xsi:nil="true"/>
  </documentManagement>
</p:properties>
</file>

<file path=customXml/itemProps1.xml><?xml version="1.0" encoding="utf-8"?>
<ds:datastoreItem xmlns:ds="http://schemas.openxmlformats.org/officeDocument/2006/customXml" ds:itemID="{2AB30DBF-28F3-437C-9E94-59F2F930F07B}"/>
</file>

<file path=customXml/itemProps2.xml><?xml version="1.0" encoding="utf-8"?>
<ds:datastoreItem xmlns:ds="http://schemas.openxmlformats.org/officeDocument/2006/customXml" ds:itemID="{C96CF05D-78C2-498C-AA51-C54C9C6A5CC0}"/>
</file>

<file path=customXml/itemProps3.xml><?xml version="1.0" encoding="utf-8"?>
<ds:datastoreItem xmlns:ds="http://schemas.openxmlformats.org/officeDocument/2006/customXml" ds:itemID="{74C7182C-F8DE-4B74-9ABC-1A63DE292B63}"/>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Tamta Gelashvili</dc:creator>
  <cp:keywords/>
  <dc:description/>
  <cp:lastModifiedBy>Tamta Gelashvili</cp:lastModifiedBy>
  <cp:revision>2</cp:revision>
  <dcterms:created xsi:type="dcterms:W3CDTF">2024-03-20T09:32:00Z</dcterms:created>
  <dcterms:modified xsi:type="dcterms:W3CDTF">2024-03-20T09:32:00Z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0x010100A24528288B669942A04DD0FC26D38A7E</vt:lpwstr>
  </property>
</Properties>
</file>